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rFonts w:hint="default"/>
          <w:b/>
          <w:sz w:val="24"/>
          <w:szCs w:val="24"/>
          <w:lang w:val="ru-RU"/>
        </w:rPr>
        <w:t>38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10 ноября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08.11.2021</w:t>
      </w:r>
      <w:r>
        <w:rPr>
          <w:rFonts w:hint="default" w:ascii="Times New Roman" w:hAnsi="Times New Roman" w:cs="Times New Roman"/>
          <w:sz w:val="24"/>
          <w:szCs w:val="24"/>
        </w:rPr>
        <w:t xml:space="preserve"> г.                                 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59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лесного контроля  в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Орловском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сельсовете  Кыштовского района Новосибирской области </w:t>
      </w:r>
    </w:p>
    <w:p>
      <w:pPr>
        <w:tabs>
          <w:tab w:val="left" w:pos="284"/>
        </w:tabs>
        <w:ind w:right="-1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Style w:val="13"/>
          <w:rFonts w:hint="default"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13"/>
          <w:rFonts w:hint="default"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>
        <w:rPr>
          <w:rStyle w:val="13"/>
          <w:rFonts w:hint="default"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hint="default" w:ascii="Times New Roman" w:hAnsi="Times New Roman" w:cs="Times New Roman"/>
          <w:sz w:val="24"/>
          <w:szCs w:val="24"/>
        </w:rPr>
        <w:t xml:space="preserve">, 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ПОСТАНОВЛЯЕТ:</w:t>
      </w:r>
    </w:p>
    <w:p>
      <w:pPr>
        <w:ind w:firstLine="567"/>
        <w:jc w:val="both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лесного контроля 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Орловском </w:t>
      </w:r>
      <w:r>
        <w:rPr>
          <w:rFonts w:hint="default" w:ascii="Times New Roman" w:hAnsi="Times New Roman" w:cs="Times New Roman"/>
          <w:sz w:val="24"/>
          <w:szCs w:val="24"/>
        </w:rPr>
        <w:t>сельсовете  Кыштовского района Новосибирской области.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 xml:space="preserve">» и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в сети Интернет.</w:t>
      </w:r>
    </w:p>
    <w:p>
      <w:pPr>
        <w:numPr>
          <w:ilvl w:val="0"/>
          <w:numId w:val="2"/>
        </w:numPr>
        <w:ind w:left="-14" w:leftChars="0" w:firstLine="567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С.С. Криворотов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лесного контроля  в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Орловском </w:t>
      </w:r>
      <w:r>
        <w:rPr>
          <w:rFonts w:hint="default" w:ascii="Times New Roman" w:hAnsi="Times New Roman" w:cs="Times New Roman"/>
          <w:b/>
          <w:sz w:val="24"/>
          <w:szCs w:val="24"/>
        </w:rPr>
        <w:t>сельсовете  Кыштовского района Новосибирской области</w:t>
      </w:r>
    </w:p>
    <w:p>
      <w:pPr>
        <w:ind w:firstLine="567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лесного контроля 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Орловском </w:t>
      </w:r>
      <w:r>
        <w:rPr>
          <w:rFonts w:hint="default" w:ascii="Times New Roman" w:hAnsi="Times New Roman" w:cs="Times New Roman"/>
          <w:sz w:val="24"/>
          <w:szCs w:val="24"/>
        </w:rPr>
        <w:t>сельсовете  Кыштовского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Кыштовского района Новосибирской области (далее по тексту – администрация).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 Вид муниципального контроля: муниципальный лесной контроль.</w:t>
      </w:r>
    </w:p>
    <w:p>
      <w:pPr>
        <w:pStyle w:val="32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>
      <w:pPr>
        <w:pStyle w:val="53"/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рамках профилактики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tabs>
          <w:tab w:val="left" w:pos="851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положении о виде контроля с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>
      <w:pPr>
        <w:ind w:firstLine="567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Style w:val="10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23"/>
        <w:gridCol w:w="2268"/>
        <w:gridCol w:w="25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56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>
            <w:pPr>
              <w:ind w:firstLine="56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8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Информирование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>
            <w:pPr>
              <w:pStyle w:val="3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pStyle w:val="32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1"/>
              <w:ind w:firstLine="5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>
            <w:pPr>
              <w:pStyle w:val="32"/>
              <w:ind w:right="13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>
            <w:pPr>
              <w:widowControl w:val="0"/>
              <w:spacing w:line="277" w:lineRule="exact"/>
              <w:ind w:right="13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7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 </w:t>
            </w:r>
          </w:p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>
      <w:pPr>
        <w:ind w:firstLine="567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Style w:val="10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03"/>
        <w:gridCol w:w="48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5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>
            <w:pPr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>
            <w:pPr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5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ind w:left="2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74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>
            <w:pPr>
              <w:widowControl w:val="0"/>
              <w:spacing w:line="274" w:lineRule="exact"/>
              <w:ind w:firstLine="4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77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08.11.2021</w:t>
      </w:r>
      <w:r>
        <w:rPr>
          <w:rFonts w:hint="default" w:ascii="Times New Roman" w:hAnsi="Times New Roman" w:cs="Times New Roman"/>
          <w:sz w:val="24"/>
          <w:szCs w:val="24"/>
        </w:rPr>
        <w:t xml:space="preserve"> г.                                 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60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hint="default" w:ascii="Times New Roman" w:hAnsi="Times New Roman" w:cs="Times New Roman"/>
          <w:b/>
          <w:sz w:val="24"/>
          <w:szCs w:val="24"/>
        </w:rPr>
        <w:t>границах населенных пунктов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сельсовета  Кыштовского района Новосибирской области </w:t>
      </w:r>
    </w:p>
    <w:p>
      <w:pPr>
        <w:tabs>
          <w:tab w:val="left" w:pos="284"/>
        </w:tabs>
        <w:ind w:right="-1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Style w:val="13"/>
          <w:rFonts w:hint="default"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13"/>
          <w:rFonts w:hint="default"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>
        <w:rPr>
          <w:rStyle w:val="13"/>
          <w:rFonts w:hint="default"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hint="default" w:ascii="Times New Roman" w:hAnsi="Times New Roman" w:cs="Times New Roman"/>
          <w:sz w:val="24"/>
          <w:szCs w:val="24"/>
        </w:rPr>
        <w:t xml:space="preserve">, 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sz w:val="24"/>
          <w:szCs w:val="24"/>
        </w:rPr>
        <w:t>сельсовета 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ПОСТАНОВЛЯЕТ:</w:t>
      </w:r>
    </w:p>
    <w:p>
      <w:pPr>
        <w:ind w:firstLine="567"/>
        <w:jc w:val="both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hint="default" w:ascii="Times New Roman" w:hAnsi="Times New Roman" w:cs="Times New Roman"/>
          <w:sz w:val="24"/>
          <w:szCs w:val="24"/>
        </w:rPr>
        <w:t xml:space="preserve">границах населенных пунктов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sz w:val="24"/>
          <w:szCs w:val="24"/>
        </w:rPr>
        <w:t>сельсовета  Кыштовского района Новосибирской области.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 xml:space="preserve">» и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в сети Интернет.</w:t>
      </w:r>
    </w:p>
    <w:p>
      <w:pPr>
        <w:numPr>
          <w:ilvl w:val="0"/>
          <w:numId w:val="2"/>
        </w:numPr>
        <w:ind w:left="-14" w:leftChars="0" w:firstLine="567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С.С. Криворотов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b/>
          <w:sz w:val="24"/>
          <w:szCs w:val="24"/>
        </w:rPr>
        <w:t>сельсовета Кыштовского района Новосибирской области</w:t>
      </w:r>
    </w:p>
    <w:p>
      <w:pPr>
        <w:ind w:firstLine="567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hint="default" w:ascii="Times New Roman" w:hAnsi="Times New Roman" w:cs="Times New Roman"/>
          <w:sz w:val="24"/>
          <w:szCs w:val="24"/>
        </w:rPr>
        <w:t xml:space="preserve">границах населенных пунктов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sz w:val="24"/>
          <w:szCs w:val="24"/>
        </w:rPr>
        <w:t>сельсовета  Кыштовского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Кыштовского района Новосибирской области (далее по тексту – администрация).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hint="default" w:ascii="Times New Roman" w:hAnsi="Times New Roman" w:cs="Times New Roman"/>
          <w:sz w:val="24"/>
          <w:szCs w:val="24"/>
        </w:rPr>
        <w:t>границах населенных пунктов.</w:t>
      </w:r>
    </w:p>
    <w:p>
      <w:pPr>
        <w:pStyle w:val="32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>
      <w:pPr>
        <w:ind w:left="-57" w:right="-1" w:firstLine="7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>
      <w:pPr>
        <w:ind w:left="-57" w:right="-1" w:firstLine="7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в полосах отвода и (или) придорожных полосах автомобильных дорог общего пользования;</w:t>
      </w:r>
    </w:p>
    <w:p>
      <w:pPr>
        <w:ind w:left="-57" w:right="-1" w:firstLine="7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>
      <w:pPr>
        <w:pStyle w:val="31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рамках профилактики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tabs>
          <w:tab w:val="left" w:pos="851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положении о виде контроля с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>
      <w:pPr>
        <w:ind w:firstLine="567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Style w:val="10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23"/>
        <w:gridCol w:w="2268"/>
        <w:gridCol w:w="25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56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>
            <w:pPr>
              <w:ind w:firstLine="56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8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Информирование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>
            <w:pPr>
              <w:pStyle w:val="3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pStyle w:val="32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1"/>
              <w:ind w:firstLine="5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Объявление предостережения</w:t>
            </w:r>
          </w:p>
          <w:p>
            <w:pPr>
              <w:pStyle w:val="32"/>
              <w:ind w:right="131"/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>
            <w:pPr>
              <w:widowControl w:val="0"/>
              <w:spacing w:line="277" w:lineRule="exact"/>
              <w:ind w:right="131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7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Консультирование.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 </w:t>
            </w:r>
          </w:p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>
      <w:pPr>
        <w:ind w:firstLine="567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Style w:val="10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03"/>
        <w:gridCol w:w="48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5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>
            <w:pPr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0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>
            <w:pPr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5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ind w:left="2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74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>
            <w:pPr>
              <w:widowControl w:val="0"/>
              <w:spacing w:line="274" w:lineRule="exact"/>
              <w:ind w:firstLine="4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77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08.11.2021</w:t>
      </w:r>
      <w:r>
        <w:rPr>
          <w:rFonts w:hint="default" w:ascii="Times New Roman" w:hAnsi="Times New Roman" w:cs="Times New Roman"/>
          <w:sz w:val="24"/>
          <w:szCs w:val="24"/>
        </w:rPr>
        <w:t xml:space="preserve"> г.                                 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61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сельсовета  Кыштовского района Новосибирской области </w:t>
      </w:r>
    </w:p>
    <w:p>
      <w:pPr>
        <w:tabs>
          <w:tab w:val="left" w:pos="284"/>
        </w:tabs>
        <w:ind w:right="-1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Style w:val="13"/>
          <w:rFonts w:hint="default"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13"/>
          <w:rFonts w:hint="default"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>
        <w:rPr>
          <w:rStyle w:val="13"/>
          <w:rFonts w:hint="default"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hint="default" w:ascii="Times New Roman" w:hAnsi="Times New Roman" w:cs="Times New Roman"/>
          <w:sz w:val="24"/>
          <w:szCs w:val="24"/>
        </w:rPr>
        <w:t xml:space="preserve">, 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ПОСТАНОВЛЯЕТ:</w:t>
      </w:r>
    </w:p>
    <w:p>
      <w:pPr>
        <w:ind w:firstLine="567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sz w:val="24"/>
          <w:szCs w:val="24"/>
        </w:rPr>
        <w:t>сельсовета  Кыштовского района Новосибирской области.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 xml:space="preserve">» и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в сети Интернет.</w:t>
      </w:r>
    </w:p>
    <w:p>
      <w:pPr>
        <w:numPr>
          <w:ilvl w:val="0"/>
          <w:numId w:val="2"/>
        </w:numPr>
        <w:ind w:left="-14" w:leftChars="0" w:firstLine="567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С.С. Криворотов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b/>
          <w:sz w:val="24"/>
          <w:szCs w:val="24"/>
        </w:rPr>
        <w:t>сельсовета  Кыштовского района Новосибирской области</w:t>
      </w:r>
    </w:p>
    <w:p>
      <w:pPr>
        <w:ind w:firstLine="567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 Кыштовского района Новосибирской области.</w:t>
      </w:r>
    </w:p>
    <w:p>
      <w:pPr>
        <w:ind w:firstLine="567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Кыштовского района Новосибирской области (далее по тексту – администрация).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муниципального образования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соответствии с Правилами;</w:t>
      </w:r>
    </w:p>
    <w:p>
      <w:pPr>
        <w:pStyle w:val="53"/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>
      <w:pPr>
        <w:pStyle w:val="32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рамках профилактики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tabs>
          <w:tab w:val="left" w:pos="851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положении о виде контроля с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>
      <w:pPr>
        <w:ind w:firstLine="567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Style w:val="10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23"/>
        <w:gridCol w:w="2268"/>
        <w:gridCol w:w="25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56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>
            <w:pPr>
              <w:ind w:firstLine="56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8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Информирование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>
            <w:pPr>
              <w:pStyle w:val="3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pStyle w:val="32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1"/>
              <w:ind w:firstLine="5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>
            <w:pPr>
              <w:pStyle w:val="32"/>
              <w:ind w:right="13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>
            <w:pPr>
              <w:widowControl w:val="0"/>
              <w:spacing w:line="277" w:lineRule="exact"/>
              <w:ind w:right="13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7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 </w:t>
            </w:r>
          </w:p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>
      <w:pPr>
        <w:ind w:firstLine="567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Style w:val="10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03"/>
        <w:gridCol w:w="48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5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>
            <w:pPr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0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>
            <w:pPr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5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ind w:left="2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74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>
            <w:pPr>
              <w:widowControl w:val="0"/>
              <w:spacing w:line="274" w:lineRule="exact"/>
              <w:ind w:firstLine="4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77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08.11.2021</w:t>
      </w:r>
      <w:r>
        <w:rPr>
          <w:rFonts w:hint="default" w:ascii="Times New Roman" w:hAnsi="Times New Roman" w:cs="Times New Roman"/>
          <w:sz w:val="24"/>
          <w:szCs w:val="24"/>
        </w:rPr>
        <w:t xml:space="preserve"> г.                                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62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сельсовета  Кыштовского района Новосибирской области </w:t>
      </w:r>
    </w:p>
    <w:p>
      <w:pPr>
        <w:tabs>
          <w:tab w:val="left" w:pos="284"/>
        </w:tabs>
        <w:ind w:right="-1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Style w:val="13"/>
          <w:rFonts w:hint="default"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13"/>
          <w:rFonts w:hint="default"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>
        <w:rPr>
          <w:rStyle w:val="13"/>
          <w:rFonts w:hint="default"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hint="default" w:ascii="Times New Roman" w:hAnsi="Times New Roman" w:cs="Times New Roman"/>
          <w:sz w:val="24"/>
          <w:szCs w:val="24"/>
        </w:rPr>
        <w:t xml:space="preserve">, 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 Кыштовского района Новосибирской области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ПОСТАНОВЛЯЕТ:</w:t>
      </w:r>
    </w:p>
    <w:p>
      <w:pPr>
        <w:ind w:firstLine="567"/>
        <w:jc w:val="both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sz w:val="24"/>
          <w:szCs w:val="24"/>
        </w:rPr>
        <w:t>сельсовета  Кыштовского района Новосибирской области.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 xml:space="preserve">» и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в сети Интернет.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</w:t>
      </w: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b/>
          <w:sz w:val="24"/>
          <w:szCs w:val="24"/>
        </w:rPr>
        <w:t>сельсовета Кыштовского района Новосибирской области</w:t>
      </w:r>
    </w:p>
    <w:p>
      <w:pPr>
        <w:ind w:firstLine="567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sz w:val="24"/>
          <w:szCs w:val="24"/>
        </w:rPr>
        <w:t>сельсовета  Кыштовского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Кыштовского района Новосибирской области (далее по тексту – администрация).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>
      <w:pPr>
        <w:pStyle w:val="32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>
      <w:pPr>
        <w:pStyle w:val="53"/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соблюдение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>
        <w:rPr>
          <w:rFonts w:hint="default" w:ascii="Times New Roman" w:hAnsi="Times New Roman" w:cs="Times New Roman"/>
          <w:sz w:val="24"/>
          <w:szCs w:val="24"/>
        </w:rPr>
        <w:t xml:space="preserve"> установленных жилищным законодательством, </w:t>
      </w:r>
      <w:r>
        <w:rPr>
          <w:rFonts w:hint="default"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>
        <w:rPr>
          <w:rFonts w:hint="default" w:ascii="Times New Roman" w:hAnsi="Times New Roman" w:cs="Times New Roman"/>
          <w:bCs/>
          <w:sz w:val="24"/>
          <w:szCs w:val="24"/>
        </w:rPr>
        <w:t>: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1) требований к: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>
        <w:rPr>
          <w:rFonts w:hint="default" w:ascii="Times New Roman" w:hAnsi="Times New Roman" w:cs="Times New Roman"/>
          <w:bCs/>
          <w:sz w:val="24"/>
          <w:szCs w:val="24"/>
        </w:rPr>
        <w:t>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3)  правил: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>
      <w:pPr>
        <w:pStyle w:val="31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32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рамках профилактики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tabs>
          <w:tab w:val="left" w:pos="851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положении о виде контроля с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>
      <w:pPr>
        <w:ind w:firstLine="567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Style w:val="10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23"/>
        <w:gridCol w:w="2268"/>
        <w:gridCol w:w="25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3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56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>
            <w:pPr>
              <w:ind w:firstLine="56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Информирование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>
            <w:pPr>
              <w:pStyle w:val="3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контроля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4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pStyle w:val="32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1"/>
              <w:ind w:firstLine="5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0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>
            <w:pPr>
              <w:pStyle w:val="32"/>
              <w:ind w:right="13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>
            <w:pPr>
              <w:widowControl w:val="0"/>
              <w:spacing w:line="277" w:lineRule="exact"/>
              <w:ind w:right="13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7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0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 </w:t>
            </w:r>
          </w:p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>
      <w:pPr>
        <w:ind w:firstLine="567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Style w:val="10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03"/>
        <w:gridCol w:w="48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>
            <w:pPr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5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>
            <w:pPr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0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ind w:left="2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74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>
            <w:pPr>
              <w:widowControl w:val="0"/>
              <w:spacing w:line="274" w:lineRule="exact"/>
              <w:ind w:firstLine="4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77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08.11.2021</w:t>
      </w:r>
      <w:r>
        <w:rPr>
          <w:rFonts w:hint="default" w:ascii="Times New Roman" w:hAnsi="Times New Roman" w:cs="Times New Roman"/>
          <w:sz w:val="24"/>
          <w:szCs w:val="24"/>
        </w:rPr>
        <w:t xml:space="preserve"> г.                                 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63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сельсовета  Кыштовского района Новосибирской области </w:t>
      </w:r>
    </w:p>
    <w:p>
      <w:pPr>
        <w:tabs>
          <w:tab w:val="left" w:pos="284"/>
        </w:tabs>
        <w:ind w:right="-1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Style w:val="13"/>
          <w:rFonts w:hint="default"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13"/>
          <w:rFonts w:hint="default"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>
        <w:rPr>
          <w:rStyle w:val="13"/>
          <w:rFonts w:hint="default"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hint="default" w:ascii="Times New Roman" w:hAnsi="Times New Roman" w:cs="Times New Roman"/>
          <w:sz w:val="24"/>
          <w:szCs w:val="24"/>
        </w:rPr>
        <w:t xml:space="preserve">, 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ПОСТАНОВЛЯЕТ:</w:t>
      </w:r>
    </w:p>
    <w:p>
      <w:pPr>
        <w:ind w:firstLine="567"/>
        <w:jc w:val="both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sz w:val="24"/>
          <w:szCs w:val="24"/>
        </w:rPr>
        <w:t>сельсовета  Кыштовского района Новосибирской области.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 xml:space="preserve">» и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в сети Интернет.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</w:t>
      </w: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 в области охраны и использования особо охраняемых природных территорий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b/>
          <w:sz w:val="24"/>
          <w:szCs w:val="24"/>
        </w:rPr>
        <w:t>сельсовета Кыштовского района Новосибирской области</w:t>
      </w:r>
    </w:p>
    <w:p>
      <w:pPr>
        <w:ind w:firstLine="567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sz w:val="24"/>
          <w:szCs w:val="24"/>
        </w:rPr>
        <w:t>сельсовета  Кыштовского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Кыштовского района Новосибирской области (далее по тексту – администрация).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>
      <w:pPr>
        <w:pStyle w:val="32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>
      <w:pPr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>
        <w:rPr>
          <w:rFonts w:hint="default" w:ascii="Times New Roman" w:hAnsi="Times New Roman" w:cs="Times New Roman"/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>
      <w:pPr>
        <w:pStyle w:val="31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режима особо охраняемой природной территории </w:t>
      </w:r>
      <w:r>
        <w:rPr>
          <w:rFonts w:hint="default" w:ascii="Times New Roman" w:hAnsi="Times New Roman" w:cs="Times New Roman"/>
          <w:iCs/>
          <w:sz w:val="24"/>
          <w:szCs w:val="24"/>
          <w:lang w:val="ru-RU" w:eastAsia="zh-CN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, установленной постановлением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32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рамках профилактики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tabs>
          <w:tab w:val="left" w:pos="851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положении о виде контроля с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>
      <w:pPr>
        <w:ind w:firstLine="567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Style w:val="10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23"/>
        <w:gridCol w:w="2268"/>
        <w:gridCol w:w="25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56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>
            <w:pPr>
              <w:ind w:firstLine="56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0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Информирование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>
            <w:pPr>
              <w:pStyle w:val="3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pStyle w:val="32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1"/>
              <w:ind w:firstLine="5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>
            <w:pPr>
              <w:pStyle w:val="32"/>
              <w:ind w:right="13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>
            <w:pPr>
              <w:widowControl w:val="0"/>
              <w:spacing w:line="277" w:lineRule="exact"/>
              <w:ind w:right="13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7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 </w:t>
            </w:r>
          </w:p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right="131"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line="23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>
      <w:pPr>
        <w:ind w:firstLine="567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Style w:val="10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03"/>
        <w:gridCol w:w="48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>
            <w:pPr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0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>
            <w:pPr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5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2"/>
              <w:ind w:firstLine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30" w:lineRule="exact"/>
              <w:ind w:left="2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74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>
            <w:pPr>
              <w:widowControl w:val="0"/>
              <w:spacing w:line="274" w:lineRule="exact"/>
              <w:ind w:firstLine="4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line="277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38</w:t>
      </w:r>
      <w:r>
        <w:rPr>
          <w:b/>
          <w:sz w:val="24"/>
          <w:szCs w:val="24"/>
        </w:rPr>
        <w:t xml:space="preserve">, </w:t>
      </w:r>
      <w:r>
        <w:rPr>
          <w:rFonts w:hint="default"/>
          <w:b/>
          <w:sz w:val="24"/>
          <w:szCs w:val="24"/>
          <w:lang w:val="ru-RU"/>
        </w:rPr>
        <w:t>10 ноября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</w:t>
      </w:r>
      <w:bookmarkStart w:id="0" w:name="_GoBack"/>
      <w:bookmarkEnd w:id="0"/>
      <w:r>
        <w:rPr>
          <w:sz w:val="20"/>
          <w:szCs w:val="20"/>
        </w:rPr>
        <w:t>асти</w:t>
      </w:r>
    </w:p>
    <w:sectPr>
      <w:headerReference r:id="rId3" w:type="default"/>
      <w:footerReference r:id="rId4" w:type="default"/>
      <w:pgSz w:w="11906" w:h="16838"/>
      <w:pgMar w:top="851" w:right="567" w:bottom="-541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11"/>
      <w:gridCol w:w="3007"/>
      <w:gridCol w:w="300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</w:tblPrEx>
      <w:tc>
        <w:tcPr>
          <w:tcW w:w="3011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2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2D414D9D"/>
    <w:multiLevelType w:val="multilevel"/>
    <w:tmpl w:val="2D414D9D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5F1F7853"/>
    <w:lvl w:ilvl="0" w:tentative="0">
      <w:start w:val="3"/>
      <w:numFmt w:val="decimal"/>
      <w:lvlText w:val="%1."/>
      <w:lvlJc w:val="left"/>
      <w:pPr>
        <w:ind w:left="706" w:hanging="360"/>
      </w:pPr>
      <w:rPr>
        <w:rFonts w:hint="default"/>
      </w:rPr>
    </w:lvl>
    <w:lvl w:ilvl="1" w:tentative="0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 w:tentative="0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6107EEB"/>
    <w:rsid w:val="086704E0"/>
    <w:rsid w:val="094B7DCE"/>
    <w:rsid w:val="0CE97AA1"/>
    <w:rsid w:val="0F8452C5"/>
    <w:rsid w:val="106C1F56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A849A3"/>
    <w:rsid w:val="33144ED0"/>
    <w:rsid w:val="33FE6EEB"/>
    <w:rsid w:val="387856DC"/>
    <w:rsid w:val="388F092D"/>
    <w:rsid w:val="38A902E7"/>
    <w:rsid w:val="398A75BF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CED3CAD"/>
    <w:rsid w:val="5DBE7080"/>
    <w:rsid w:val="63526A6F"/>
    <w:rsid w:val="64B67E8C"/>
    <w:rsid w:val="65F97A2D"/>
    <w:rsid w:val="6694281C"/>
    <w:rsid w:val="68022EFB"/>
    <w:rsid w:val="68197A9E"/>
    <w:rsid w:val="6F9154A6"/>
    <w:rsid w:val="765C0232"/>
    <w:rsid w:val="76614266"/>
    <w:rsid w:val="77A66C78"/>
    <w:rsid w:val="7A642500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4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7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9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 w:eastAsia="Times New Roman"/>
      <w:color w:val="000080"/>
      <w:sz w:val="24"/>
      <w:szCs w:val="20"/>
      <w:lang w:eastAsia="ru-RU"/>
    </w:rPr>
  </w:style>
  <w:style w:type="paragraph" w:styleId="7">
    <w:name w:val="heading 6"/>
    <w:basedOn w:val="1"/>
    <w:next w:val="1"/>
    <w:link w:val="66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1"/>
    <w:next w:val="1"/>
    <w:link w:val="92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semiHidden/>
    <w:qFormat/>
    <w:uiPriority w:val="0"/>
    <w:rPr>
      <w:vertAlign w:val="superscript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styleId="13">
    <w:name w:val="Emphasis"/>
    <w:basedOn w:val="9"/>
    <w:qFormat/>
    <w:uiPriority w:val="20"/>
    <w:rPr>
      <w:i/>
      <w:iCs/>
    </w:rPr>
  </w:style>
  <w:style w:type="character" w:styleId="14">
    <w:name w:val="Hyperlink"/>
    <w:basedOn w:val="9"/>
    <w:qFormat/>
    <w:uiPriority w:val="99"/>
    <w:rPr>
      <w:color w:val="0000FF"/>
      <w:u w:val="single"/>
    </w:rPr>
  </w:style>
  <w:style w:type="character" w:styleId="15">
    <w:name w:val="Strong"/>
    <w:basedOn w:val="9"/>
    <w:qFormat/>
    <w:uiPriority w:val="0"/>
    <w:rPr>
      <w:b/>
      <w:bCs/>
    </w:rPr>
  </w:style>
  <w:style w:type="paragraph" w:styleId="1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98"/>
    <w:qFormat/>
    <w:uiPriority w:val="0"/>
    <w:pPr>
      <w:spacing w:after="120" w:line="480" w:lineRule="auto"/>
    </w:pPr>
  </w:style>
  <w:style w:type="paragraph" w:styleId="18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19">
    <w:name w:val="annotation text"/>
    <w:basedOn w:val="1"/>
    <w:link w:val="62"/>
    <w:qFormat/>
    <w:uiPriority w:val="0"/>
    <w:rPr>
      <w:sz w:val="20"/>
      <w:szCs w:val="20"/>
    </w:rPr>
  </w:style>
  <w:style w:type="paragraph" w:styleId="20">
    <w:name w:val="annotation subject"/>
    <w:basedOn w:val="19"/>
    <w:next w:val="19"/>
    <w:link w:val="63"/>
    <w:qFormat/>
    <w:uiPriority w:val="0"/>
    <w:rPr>
      <w:b/>
      <w:bCs/>
    </w:rPr>
  </w:style>
  <w:style w:type="paragraph" w:styleId="21">
    <w:name w:val="header"/>
    <w:basedOn w:val="1"/>
    <w:link w:val="44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"/>
    <w:basedOn w:val="1"/>
    <w:link w:val="43"/>
    <w:qFormat/>
    <w:uiPriority w:val="0"/>
    <w:pPr>
      <w:jc w:val="center"/>
    </w:pPr>
    <w:rPr>
      <w:szCs w:val="24"/>
    </w:rPr>
  </w:style>
  <w:style w:type="paragraph" w:styleId="2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24">
    <w:name w:val="Body Text Indent"/>
    <w:basedOn w:val="1"/>
    <w:link w:val="57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2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26">
    <w:name w:val="Title"/>
    <w:basedOn w:val="1"/>
    <w:next w:val="1"/>
    <w:link w:val="47"/>
    <w:qFormat/>
    <w:uiPriority w:val="0"/>
    <w:pPr>
      <w:jc w:val="center"/>
    </w:pPr>
    <w:rPr>
      <w:b/>
      <w:sz w:val="36"/>
      <w:szCs w:val="20"/>
    </w:rPr>
  </w:style>
  <w:style w:type="paragraph" w:styleId="27">
    <w:name w:val="footer"/>
    <w:basedOn w:val="1"/>
    <w:link w:val="51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9">
    <w:name w:val="Body Text Indent 2"/>
    <w:basedOn w:val="1"/>
    <w:qFormat/>
    <w:uiPriority w:val="0"/>
    <w:pPr>
      <w:ind w:right="176" w:firstLine="709"/>
      <w:jc w:val="both"/>
      <w:outlineLvl w:val="1"/>
    </w:pPr>
    <w:rPr>
      <w:sz w:val="28"/>
    </w:rPr>
  </w:style>
  <w:style w:type="paragraph" w:styleId="30">
    <w:name w:val="Subtitle"/>
    <w:basedOn w:val="1"/>
    <w:link w:val="99"/>
    <w:qFormat/>
    <w:uiPriority w:val="0"/>
    <w:pPr>
      <w:jc w:val="center"/>
    </w:pPr>
    <w:rPr>
      <w:b/>
      <w:bCs/>
      <w:caps/>
      <w:sz w:val="32"/>
      <w:szCs w:val="20"/>
    </w:rPr>
  </w:style>
  <w:style w:type="paragraph" w:styleId="31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32">
    <w:name w:val="ConsPlusNormal"/>
    <w:link w:val="49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3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4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Основной текст_"/>
    <w:link w:val="36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6">
    <w:name w:val="Основной текст1"/>
    <w:basedOn w:val="1"/>
    <w:link w:val="35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7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8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9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0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2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3">
    <w:name w:val="Основной текст Знак"/>
    <w:link w:val="2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4">
    <w:name w:val="Верхний колонтитул Знак"/>
    <w:link w:val="21"/>
    <w:qFormat/>
    <w:locked/>
    <w:uiPriority w:val="0"/>
    <w:rPr>
      <w:lang w:val="ru-RU" w:eastAsia="ru-RU" w:bidi="ar-SA"/>
    </w:rPr>
  </w:style>
  <w:style w:type="paragraph" w:customStyle="1" w:styleId="45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6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7">
    <w:name w:val="Название Знак"/>
    <w:link w:val="26"/>
    <w:qFormat/>
    <w:uiPriority w:val="0"/>
    <w:rPr>
      <w:b/>
      <w:sz w:val="36"/>
    </w:rPr>
  </w:style>
  <w:style w:type="paragraph" w:customStyle="1" w:styleId="48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">
    <w:name w:val="ConsPlusNormal Знак"/>
    <w:link w:val="32"/>
    <w:qFormat/>
    <w:locked/>
    <w:uiPriority w:val="0"/>
    <w:rPr>
      <w:rFonts w:ascii="Arial" w:hAnsi="Arial" w:cs="Arial"/>
    </w:rPr>
  </w:style>
  <w:style w:type="paragraph" w:customStyle="1" w:styleId="50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1">
    <w:name w:val="Нижний колонтитул Знак"/>
    <w:link w:val="27"/>
    <w:qFormat/>
    <w:uiPriority w:val="0"/>
    <w:rPr>
      <w:sz w:val="24"/>
    </w:rPr>
  </w:style>
  <w:style w:type="paragraph" w:styleId="5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4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5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6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7">
    <w:name w:val="Основной текст с отступом Знак"/>
    <w:link w:val="24"/>
    <w:qFormat/>
    <w:uiPriority w:val="0"/>
    <w:rPr>
      <w:sz w:val="24"/>
      <w:szCs w:val="24"/>
    </w:rPr>
  </w:style>
  <w:style w:type="paragraph" w:customStyle="1" w:styleId="58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9">
    <w:name w:val="Стиль1 Знак"/>
    <w:next w:val="2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0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1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2">
    <w:name w:val="Текст примечания Знак"/>
    <w:basedOn w:val="9"/>
    <w:link w:val="19"/>
    <w:qFormat/>
    <w:uiPriority w:val="0"/>
  </w:style>
  <w:style w:type="character" w:customStyle="1" w:styleId="63">
    <w:name w:val="Тема примечания Знак"/>
    <w:link w:val="20"/>
    <w:qFormat/>
    <w:uiPriority w:val="0"/>
    <w:rPr>
      <w:b/>
      <w:bCs/>
    </w:rPr>
  </w:style>
  <w:style w:type="character" w:customStyle="1" w:styleId="64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5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6">
    <w:name w:val="Заголовок 6 Знак"/>
    <w:link w:val="7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7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2"/>
    <w:qFormat/>
    <w:uiPriority w:val="0"/>
  </w:style>
  <w:style w:type="paragraph" w:customStyle="1" w:styleId="72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1"/>
    <w:qFormat/>
    <w:uiPriority w:val="0"/>
  </w:style>
  <w:style w:type="paragraph" w:customStyle="1" w:styleId="75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9">
    <w:name w:val="s3"/>
    <w:qFormat/>
    <w:uiPriority w:val="0"/>
  </w:style>
  <w:style w:type="paragraph" w:customStyle="1" w:styleId="80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4"/>
    <w:qFormat/>
    <w:uiPriority w:val="0"/>
  </w:style>
  <w:style w:type="paragraph" w:customStyle="1" w:styleId="86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8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9">
    <w:name w:val="s5"/>
    <w:qFormat/>
    <w:uiPriority w:val="0"/>
  </w:style>
  <w:style w:type="character" w:customStyle="1" w:styleId="90">
    <w:name w:val="s6"/>
    <w:qFormat/>
    <w:uiPriority w:val="0"/>
  </w:style>
  <w:style w:type="character" w:customStyle="1" w:styleId="91">
    <w:name w:val="s7"/>
    <w:qFormat/>
    <w:uiPriority w:val="0"/>
  </w:style>
  <w:style w:type="character" w:customStyle="1" w:styleId="92">
    <w:name w:val="Заголовок 8 Знак"/>
    <w:link w:val="8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3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4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5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6">
    <w:name w:val="Заголовок 21"/>
    <w:basedOn w:val="95"/>
    <w:next w:val="95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7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8">
    <w:name w:val="Основной текст 2 Знак"/>
    <w:link w:val="17"/>
    <w:qFormat/>
    <w:uiPriority w:val="0"/>
    <w:rPr>
      <w:sz w:val="28"/>
      <w:szCs w:val="28"/>
    </w:rPr>
  </w:style>
  <w:style w:type="character" w:customStyle="1" w:styleId="99">
    <w:name w:val="Подзаголовок Знак"/>
    <w:link w:val="30"/>
    <w:qFormat/>
    <w:uiPriority w:val="0"/>
    <w:rPr>
      <w:b/>
      <w:bCs/>
      <w:caps/>
      <w:sz w:val="32"/>
    </w:rPr>
  </w:style>
  <w:style w:type="character" w:customStyle="1" w:styleId="100">
    <w:name w:val="apple-converted-space"/>
    <w:basedOn w:val="9"/>
    <w:qFormat/>
    <w:uiPriority w:val="0"/>
  </w:style>
  <w:style w:type="paragraph" w:customStyle="1" w:styleId="101">
    <w:name w:val="_Style 3"/>
    <w:basedOn w:val="1"/>
    <w:next w:val="2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102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3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4">
    <w:name w:val="Заголовок 1 Знак"/>
    <w:basedOn w:val="9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5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6">
    <w:name w:val="Font Style41"/>
    <w:basedOn w:val="9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7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9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0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1">
    <w:name w:val="Style15"/>
    <w:basedOn w:val="1"/>
    <w:qFormat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2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Стиль1"/>
    <w:basedOn w:val="1"/>
    <w:qFormat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4">
    <w:name w:val="Основной текст (2)"/>
    <w:basedOn w:val="1"/>
    <w:qFormat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5">
    <w:name w:val="Другое"/>
    <w:basedOn w:val="1"/>
    <w:qFormat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6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7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8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9">
    <w:name w:val="ucoz-forum-post"/>
    <w:basedOn w:val="9"/>
    <w:qFormat/>
    <w:uiPriority w:val="0"/>
  </w:style>
  <w:style w:type="character" w:customStyle="1" w:styleId="120">
    <w:name w:val="address2"/>
    <w:basedOn w:val="9"/>
    <w:qFormat/>
    <w:uiPriority w:val="0"/>
  </w:style>
  <w:style w:type="character" w:customStyle="1" w:styleId="121">
    <w:name w:val="data2"/>
    <w:basedOn w:val="9"/>
    <w:qFormat/>
    <w:uiPriority w:val="0"/>
  </w:style>
  <w:style w:type="paragraph" w:customStyle="1" w:styleId="122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23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4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5">
    <w:name w:val="Font Style15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6">
    <w:name w:val="newinreviewart"/>
    <w:basedOn w:val="1"/>
    <w:qFormat/>
    <w:uiPriority w:val="0"/>
    <w:pPr>
      <w:spacing w:before="100" w:beforeAutospacing="1" w:after="100" w:afterAutospacing="1"/>
    </w:pPr>
  </w:style>
  <w:style w:type="paragraph" w:customStyle="1" w:styleId="127">
    <w:name w:val="textinside"/>
    <w:basedOn w:val="1"/>
    <w:uiPriority w:val="0"/>
    <w:pPr>
      <w:spacing w:before="100" w:beforeAutospacing="1" w:after="100" w:afterAutospacing="1"/>
    </w:pPr>
  </w:style>
  <w:style w:type="character" w:customStyle="1" w:styleId="128">
    <w:name w:val=" Знак9"/>
    <w:basedOn w:val="9"/>
    <w:qFormat/>
    <w:uiPriority w:val="0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29">
    <w:name w:val="hyperlink"/>
    <w:qFormat/>
    <w:uiPriority w:val="0"/>
  </w:style>
  <w:style w:type="character" w:customStyle="1" w:styleId="130">
    <w:name w:val="Гипертекстовая ссылка"/>
    <w:basedOn w:val="131"/>
    <w:uiPriority w:val="99"/>
    <w:rPr>
      <w:color w:val="106BBE"/>
    </w:rPr>
  </w:style>
  <w:style w:type="character" w:customStyle="1" w:styleId="131">
    <w:name w:val="Цветовое выделение"/>
    <w:qFormat/>
    <w:uiPriority w:val="99"/>
    <w:rPr>
      <w:b/>
      <w:bCs/>
      <w:color w:val="26282F"/>
    </w:rPr>
  </w:style>
  <w:style w:type="paragraph" w:customStyle="1" w:styleId="132">
    <w:name w:val="Таблицы (моноширинный)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133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34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21</TotalTime>
  <ScaleCrop>false</ScaleCrop>
  <LinksUpToDate>false</LinksUpToDate>
  <CharactersWithSpaces>34198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2021-09-06T08:39:00Z</cp:lastPrinted>
  <dcterms:modified xsi:type="dcterms:W3CDTF">2021-11-12T03:15:28Z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4A4FE60E0526498AA465E9E89F79B6D9</vt:lpwstr>
  </property>
</Properties>
</file>