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23 10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ОРЛОВСКОГО СЕЛЬСОВЕТА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Шес</w:t>
      </w:r>
      <w:r>
        <w:rPr>
          <w:sz w:val="24"/>
          <w:szCs w:val="24"/>
        </w:rPr>
        <w:t>того созыва</w:t>
      </w:r>
    </w:p>
    <w:p>
      <w:pPr>
        <w:pStyle w:val="29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Е Н И Е</w:t>
      </w:r>
    </w:p>
    <w:p>
      <w:pPr>
        <w:pStyle w:val="29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>
        <w:rPr>
          <w:b w:val="0"/>
          <w:sz w:val="24"/>
          <w:szCs w:val="24"/>
          <w:lang w:val="ru-RU"/>
        </w:rPr>
        <w:t>Десятой</w:t>
      </w:r>
      <w:r>
        <w:rPr>
          <w:b w:val="0"/>
          <w:sz w:val="24"/>
          <w:szCs w:val="24"/>
        </w:rPr>
        <w:t xml:space="preserve"> сессии)</w:t>
      </w:r>
    </w:p>
    <w:p>
      <w:pPr>
        <w:pStyle w:val="29"/>
        <w:widowControl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lang w:val="ru-RU"/>
        </w:rPr>
        <w:t>08.06.2021</w:t>
      </w:r>
      <w:r>
        <w:rPr>
          <w:b w:val="0"/>
          <w:sz w:val="24"/>
          <w:szCs w:val="24"/>
        </w:rPr>
        <w:t xml:space="preserve"> г                             д. Орловка                                               № </w:t>
      </w:r>
      <w:r>
        <w:rPr>
          <w:b w:val="0"/>
          <w:sz w:val="24"/>
          <w:szCs w:val="24"/>
          <w:lang w:val="ru-RU"/>
        </w:rPr>
        <w:t>2</w:t>
      </w:r>
    </w:p>
    <w:p>
      <w:pPr>
        <w:pStyle w:val="29"/>
        <w:widowControl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Об утверждении отчета об исполнении бюджета Орловского сельсовета Кыштовского района Новосибирской области за 2020 год.</w:t>
      </w:r>
    </w:p>
    <w:p>
      <w:pPr>
        <w:ind w:left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Заслушав отчет об исполнении бюджета Орловского сельсовета за 20</w:t>
      </w:r>
      <w:r>
        <w:rPr>
          <w:rFonts w:hint="default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год, Совет депутатов решил: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1.Утвердить объем </w:t>
      </w:r>
      <w:r>
        <w:rPr>
          <w:rFonts w:hint="default" w:cs="Times New Roman"/>
          <w:color w:val="000000"/>
          <w:spacing w:val="6"/>
          <w:sz w:val="24"/>
          <w:szCs w:val="24"/>
          <w:lang w:val="ru-RU"/>
        </w:rPr>
        <w:t xml:space="preserve">поступивших </w:t>
      </w:r>
      <w:r>
        <w:rPr>
          <w:rFonts w:hint="default" w:ascii="Times New Roman" w:hAnsi="Times New Roman" w:cs="Times New Roman"/>
          <w:color w:val="000000"/>
          <w:spacing w:val="6"/>
          <w:sz w:val="24"/>
          <w:szCs w:val="24"/>
          <w:lang w:val="ru-RU"/>
        </w:rPr>
        <w:t>доходов местного бюджета за 20</w:t>
      </w:r>
      <w:r>
        <w:rPr>
          <w:rFonts w:hint="default" w:cs="Times New Roman"/>
          <w:color w:val="000000"/>
          <w:spacing w:val="6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год в сумме </w:t>
      </w:r>
      <w:r>
        <w:rPr>
          <w:rFonts w:hint="default" w:cs="Times New Roman"/>
          <w:color w:val="000000"/>
          <w:spacing w:val="6"/>
          <w:sz w:val="24"/>
          <w:szCs w:val="24"/>
          <w:lang w:val="ru-RU"/>
        </w:rPr>
        <w:t>6 673 669,43</w:t>
      </w:r>
      <w:r>
        <w:rPr>
          <w:rFonts w:hint="default"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рублей, в том числе объем безвозмездных поступлений в сумме </w:t>
      </w:r>
      <w:r>
        <w:rPr>
          <w:rFonts w:hint="default" w:cs="Times New Roman"/>
          <w:color w:val="000000"/>
          <w:spacing w:val="1"/>
          <w:sz w:val="24"/>
          <w:szCs w:val="24"/>
          <w:lang w:val="ru-RU"/>
        </w:rPr>
        <w:t>5 883 903,88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hint="default" w:cs="Times New Roman"/>
          <w:color w:val="000000"/>
          <w:spacing w:val="1"/>
          <w:sz w:val="24"/>
          <w:szCs w:val="24"/>
          <w:lang w:val="ru-RU"/>
        </w:rPr>
        <w:t>165 000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рублей, объем  субвенций, имеющих целевое назначение ,в сумме </w:t>
      </w:r>
      <w:r>
        <w:rPr>
          <w:rFonts w:hint="default" w:cs="Times New Roman"/>
          <w:color w:val="000000"/>
          <w:spacing w:val="1"/>
          <w:sz w:val="24"/>
          <w:szCs w:val="24"/>
          <w:lang w:val="ru-RU"/>
        </w:rPr>
        <w:t>106 301,25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рублей; </w:t>
      </w:r>
    </w:p>
    <w:p>
      <w:pPr>
        <w:ind w:left="0" w:leftChars="0" w:firstLine="307" w:firstLineChars="1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2. Утвердить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общий объем расходов местного бюджета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  <w:lang w:val="ru-RU"/>
        </w:rPr>
        <w:t>за 20</w:t>
      </w:r>
      <w:r>
        <w:rPr>
          <w:rFonts w:hint="default" w:cs="Times New Roman"/>
          <w:color w:val="000000"/>
          <w:spacing w:val="1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>в сумме</w:t>
      </w:r>
      <w:r>
        <w:rPr>
          <w:rFonts w:hint="default" w:cs="Times New Roman"/>
          <w:color w:val="000000"/>
          <w:spacing w:val="1"/>
          <w:sz w:val="24"/>
          <w:szCs w:val="24"/>
          <w:lang w:val="ru-RU"/>
        </w:rPr>
        <w:t xml:space="preserve"> 7 794 758,49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рублей.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Совета депутатов Орловского сельсовета Т.В. Зыбина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Глава Орловского сельсовета С.С. Криворотов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СОВЕТ  ДЕПУТАТОВ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 РАЙОНА  НОВОСИБИРСКОЙ 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Шес</w:t>
      </w:r>
      <w:r>
        <w:rPr>
          <w:rFonts w:hint="default" w:ascii="Times New Roman" w:hAnsi="Times New Roman" w:cs="Times New Roman"/>
          <w:sz w:val="24"/>
          <w:szCs w:val="24"/>
        </w:rPr>
        <w:t>того  созыва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 Е ШЕ Н И 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-ой сессии)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08.06.2021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программы энергосбережения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годы.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Федерального закона Российской Федерации от 23.11.2009 г. № 261-ФЗ «Об энергосбережении  и о повышении энергетической эффективности и о внесении изменений в отдельные законодательные акты РФ», усиления работы по повышению энергетической эффективности, выполнения основных задач по энергосбережению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Совет 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РЕШИЛ:</w:t>
      </w:r>
    </w:p>
    <w:p>
      <w:pPr>
        <w:numPr>
          <w:ilvl w:val="0"/>
          <w:numId w:val="2"/>
        </w:numPr>
        <w:suppressAutoHyphens w:val="0"/>
        <w:spacing w:after="200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Утвердить Программу энергосбережения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годы.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54" w:hanging="391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Опубликовать настоящее решение  в периодическом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 "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на странице 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 сельсовета Кыштовского района Новосибирской области. </w:t>
      </w:r>
    </w:p>
    <w:p>
      <w:pPr>
        <w:pStyle w:val="49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Контроль за исполнением возложить на главу Орловского сельсовета Криворотова С.С.</w:t>
      </w:r>
    </w:p>
    <w:p>
      <w:pPr>
        <w:pStyle w:val="49"/>
        <w:ind w:lef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 сельсовета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Т.В. Зыбина</w:t>
      </w:r>
    </w:p>
    <w:p>
      <w:pPr>
        <w:pStyle w:val="49"/>
        <w:ind w:lef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 сельсовета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ПАСПОРТ</w:t>
      </w:r>
    </w:p>
    <w:p>
      <w:pPr>
        <w:widowControl w:val="0"/>
        <w:tabs>
          <w:tab w:val="left" w:pos="142"/>
        </w:tabs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ского сельсовета </w:t>
      </w:r>
    </w:p>
    <w:p>
      <w:pPr>
        <w:widowControl w:val="0"/>
        <w:tabs>
          <w:tab w:val="left" w:pos="142"/>
        </w:tabs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 Кыштовского района Новосибирской области на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годы»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100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07"/>
        <w:gridCol w:w="69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ского сельсовета Кыштовского района Новосибирской области на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Полное наименование разработчика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ского сельсовета Кыштовского района Новосибирской области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Основание для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29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04.06.2008 № 889 «О некоторых мерах по повышению энергетической и экологической эффективности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оссийской экономики»;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Toc362442108"/>
            <w:bookmarkStart w:id="1" w:name="_Toc391368475"/>
            <w:bookmarkStart w:id="2" w:name="_Toc389435490"/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Полное наименование исполнителей 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Администрация 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Снижение финансовых затрат на оплату потребления топливно-энергетических ресурсов.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Сокращение потерь топливно-энергетических ресурсов.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Снижение финансовой нагрузки на местный бюджет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Удельная величина потребления электрической энергии, кВт.ч/чел.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Удельная величина потребления природного газа, м3/тыс.м².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Доля платы за энергетические ресурсы в стоимости оказанных услуг,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всего предусмотрено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220,1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тысяч рублей,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числе: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ского сельсовета Кыштовского района Новосибирской области–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220,1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тысяч рублей.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086" w:type="dxa"/>
            <w:gridSpan w:val="2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922" w:type="dxa"/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Обеспечение ежегодного сокращения потребления топливно-энергетических ресурсов не менее 2 %.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Снижение платежей за энергоресурсы при обеспечении комфортных условий пребывания.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Формирование «энергосберегающего» типа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мышления в коллективе.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Пресечение нерационального расходования и сокращение потерь топливно-энергетических ресурсов</w:t>
            </w:r>
          </w:p>
        </w:tc>
      </w:tr>
    </w:tbl>
    <w:p>
      <w:pPr>
        <w:widowControl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3" w:name="_Toc389435492"/>
      <w:bookmarkStart w:id="4" w:name="_Toc362442110"/>
      <w:bookmarkStart w:id="5" w:name="_Toc391368477"/>
      <w:r>
        <w:rPr>
          <w:rFonts w:hint="default" w:ascii="Times New Roman" w:hAnsi="Times New Roman" w:cs="Times New Roman"/>
          <w:sz w:val="24"/>
          <w:szCs w:val="24"/>
          <w:lang w:val="ru-RU"/>
        </w:rPr>
        <w:t>1. Цель Программы</w:t>
      </w:r>
      <w:bookmarkEnd w:id="3"/>
      <w:bookmarkEnd w:id="4"/>
      <w:bookmarkEnd w:id="5"/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18"/>
        <w:widowControl w:val="0"/>
        <w:spacing w:before="0" w:beforeAutospacing="0" w:after="0" w:afterAutospacing="0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6" w:name="_Toc389435493"/>
      <w:bookmarkStart w:id="7" w:name="_Toc391368478"/>
      <w:bookmarkStart w:id="8" w:name="_Toc362442111"/>
      <w:r>
        <w:rPr>
          <w:rFonts w:hint="default" w:ascii="Times New Roman" w:hAnsi="Times New Roman" w:cs="Times New Roman"/>
          <w:sz w:val="24"/>
          <w:szCs w:val="24"/>
          <w:lang w:val="ru-RU"/>
        </w:rPr>
        <w:t>2. Задачи Программы</w:t>
      </w:r>
      <w:bookmarkEnd w:id="6"/>
      <w:bookmarkEnd w:id="7"/>
      <w:bookmarkEnd w:id="8"/>
    </w:p>
    <w:p>
      <w:pPr>
        <w:pStyle w:val="119"/>
        <w:widowControl w:val="0"/>
        <w:shd w:val="clear" w:color="auto" w:fill="auto"/>
        <w:spacing w:line="240" w:lineRule="auto"/>
        <w:ind w:right="287"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Для достижения поставленных целей в ходе реализации Программы -необходимо решить следующие задачи: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bookmarkStart w:id="9" w:name="_Toc391368479"/>
      <w:bookmarkStart w:id="10" w:name="_Toc362442112"/>
      <w:bookmarkStart w:id="11" w:name="_Toc389435494"/>
      <w:r>
        <w:rPr>
          <w:rFonts w:hint="default" w:ascii="Times New Roman" w:hAnsi="Times New Roman" w:cs="Times New Roman"/>
          <w:sz w:val="24"/>
          <w:szCs w:val="24"/>
          <w:lang w:eastAsia="ru-RU"/>
        </w:rPr>
        <w:t>1. Снижение объемов потребления топливно-энергетических ресурсов при сохранении устойчивости функционирования органа местного самоуправления.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2. Снижение финансовых затрат на оплату потребления топливно-энергетических ресурсов.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3. Сокращение потерь топливно-энергетических ресурсов.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4. Снижение финансовой нагрузки на местный бюджет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Исходные данные для разработки Программы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Данные финансовой отчетности за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Технические паспорта зданий и сооружений.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Сроки и этапы реализации Программы</w:t>
      </w:r>
      <w:bookmarkEnd w:id="9"/>
      <w:bookmarkEnd w:id="10"/>
      <w:bookmarkEnd w:id="11"/>
    </w:p>
    <w:p>
      <w:pPr>
        <w:pStyle w:val="118"/>
        <w:widowControl w:val="0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Программа рассчитывается на период 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годы.</w:t>
      </w:r>
    </w:p>
    <w:p>
      <w:pPr>
        <w:widowControl w:val="0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5. Ресурсное обеспечение Программы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Финансовое обеспечение мероприятий Программы осуществляется за счёт: </w:t>
      </w:r>
    </w:p>
    <w:p>
      <w:pPr>
        <w:widowControl w:val="0"/>
        <w:tabs>
          <w:tab w:val="left" w:pos="709"/>
          <w:tab w:val="left" w:pos="108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средств местного бюджета.</w:t>
      </w:r>
    </w:p>
    <w:p>
      <w:pPr>
        <w:pStyle w:val="118"/>
        <w:widowControl w:val="0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Общий объем финансирования Программы составляет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220,1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тысяч рублей.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 Описание планируемых мероприятий</w:t>
      </w:r>
    </w:p>
    <w:p>
      <w:pPr>
        <w:widowControl w:val="0"/>
        <w:tabs>
          <w:tab w:val="left" w:pos="709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Планируемые мероприятия: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показателей, характеризующих эффективность использования основных видов энергетических ресурсов в жилищном секторе.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информации в Модуле Энергосбережение ГИС.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 муниципального контроля, технический и                       финансовый учет эффекта от внедрения энергосберегающих мероприятий.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Изготовление энергетических паспортов муниципальных зданий, их обновление.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Перевод освещения административных зданий на светодиодные светильники.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Основным источником потребления электроэнергии в администрации </w:t>
      </w:r>
    </w:p>
    <w:p>
      <w:pPr>
        <w:widowControl w:val="0"/>
        <w:tabs>
          <w:tab w:val="left" w:pos="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и МКУ ЦД 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Орловк</w:t>
      </w:r>
      <w:r>
        <w:rPr>
          <w:rFonts w:hint="default" w:ascii="Times New Roman" w:hAnsi="Times New Roman" w:cs="Times New Roman"/>
          <w:sz w:val="24"/>
          <w:szCs w:val="24"/>
        </w:rPr>
        <w:t>а является система внутреннего освещения помещений, которая состоит: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лампы накаливания - 1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шт.;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люминесцентные лампы различных видов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шт.;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светодиодные лампы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шт.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по данным из открытых источников по сравнению со светодиодной лампой: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лампа накаливания срок службы меньше в 20 раз, а потребление энергии больше в 7-10 раз;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люминесцентная лампа срок службы меньше в 5 раз, потребление энергии больше в 1,5 раза и требует особых условий утилизации.</w:t>
      </w:r>
    </w:p>
    <w:p>
      <w:pPr>
        <w:widowControl w:val="0"/>
        <w:tabs>
          <w:tab w:val="left" w:pos="0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эффективного использования бюджетных средств, заменяться на светодиодные лампы должны вышедшие из строя. Пока лампа накаливания или люминесцентная работает, она замене не подлежит.</w:t>
      </w:r>
    </w:p>
    <w:p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Ремонт и утепление дверей, а так же покупка доводчиков.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7. Система управления реализацией Программы</w:t>
      </w:r>
    </w:p>
    <w:p>
      <w:pPr>
        <w:pStyle w:val="120"/>
        <w:widowControl/>
        <w:spacing w:line="240" w:lineRule="auto"/>
        <w:rPr>
          <w:rStyle w:val="121"/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Текущее управление реализацией программы осуществляет администрация 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области(далее - Заказчик).</w:t>
      </w:r>
    </w:p>
    <w:p>
      <w:pPr>
        <w:pStyle w:val="120"/>
        <w:widowControl/>
        <w:spacing w:line="240" w:lineRule="auto"/>
        <w:rPr>
          <w:rStyle w:val="121"/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 энергосбережения.</w:t>
      </w:r>
    </w:p>
    <w:p>
      <w:pPr>
        <w:pStyle w:val="120"/>
        <w:widowControl/>
        <w:spacing w:line="240" w:lineRule="auto"/>
        <w:rPr>
          <w:rStyle w:val="121"/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 эксплуатирующего помещения. </w:t>
      </w:r>
    </w:p>
    <w:p>
      <w:pPr>
        <w:widowControl w:val="0"/>
        <w:ind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материального поощрения деятельности по энергосбережению и повышению энергетической эффективности не разрабатывается и не внедряется.</w:t>
      </w:r>
    </w:p>
    <w:p>
      <w:pPr>
        <w:widowControl w:val="0"/>
        <w:ind w:firstLine="72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 Планируемые результаты реализации мероприятий в области энергосбережения и повышения энергетической эффективности</w:t>
      </w:r>
    </w:p>
    <w:p>
      <w:pPr>
        <w:widowControl w:val="0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 ежегодное уменьшение расходов по энергосервисным контрактам.</w:t>
      </w:r>
    </w:p>
    <w:p>
      <w:pPr>
        <w:widowControl w:val="0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программных мероприятий может дать дополнительные эффекты в виде экономии местного бюджета и его перераспределение в другие сферы.</w:t>
      </w:r>
    </w:p>
    <w:p>
      <w:pPr>
        <w:ind w:firstLine="700"/>
        <w:jc w:val="center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>9. Методика оценки эффективности реализации программы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ежегодно (поэтапно). Результаты оценки эффективности реализации Программы представляются ее координатором в составе ежегодного доклада о ходе реализации Программы и об оценке эффективности ее реализации.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осуществляется в два этапа.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На первом этапе осуществляется оценка эффективности реализации, основных мероприятий, включенных в муниципальную программу, и включает: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оценку степени реализации основных мероприятий и достижения ожидаемых непосредственных результатов их реализации;</w:t>
      </w:r>
    </w:p>
    <w:p>
      <w:pPr>
        <w:widowControl w:val="0"/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оценку степени соответствия запланированному уровню расходов;</w:t>
      </w:r>
    </w:p>
    <w:p>
      <w:pPr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оценку эффективности использования средств местного бюджета;</w:t>
      </w:r>
    </w:p>
    <w:p>
      <w:pPr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мероприятий);</w:t>
      </w:r>
    </w:p>
    <w:p>
      <w:pPr>
        <w:ind w:firstLine="709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>
      <w:pPr>
        <w:widowControl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10. Механизм реализации программы</w:t>
      </w:r>
    </w:p>
    <w:p>
      <w:pPr>
        <w:widowControl w:val="0"/>
        <w:shd w:val="clear" w:color="auto" w:fill="FFFFFF"/>
        <w:ind w:firstLine="840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виде комплекса мероприятий, взаимосвязанных между собой и направленных на решение поставленных задач.</w:t>
      </w:r>
    </w:p>
    <w:p>
      <w:pPr>
        <w:widowControl w:val="0"/>
        <w:shd w:val="clear" w:color="auto" w:fill="FFFFFF"/>
        <w:ind w:firstLine="840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Программы осуществляет  глава Орловского сельсовета  по вопросам благоустройства (далее – Координатор).</w:t>
      </w:r>
    </w:p>
    <w:p>
      <w:pPr>
        <w:widowControl w:val="0"/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Координатор организует ее непосредственное руководство:</w:t>
      </w:r>
    </w:p>
    <w:p>
      <w:pPr>
        <w:widowControl w:val="0"/>
        <w:tabs>
          <w:tab w:val="left" w:pos="709"/>
          <w:tab w:val="left" w:pos="851"/>
        </w:tabs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ведет информационную и разъяснительную работу, направленную на освещение целей и задач Программы;</w:t>
      </w:r>
    </w:p>
    <w:p>
      <w:pPr>
        <w:widowControl w:val="0"/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проводит мониторинг реализации Программы и анализ отчетности, представляемой участниками Программы;</w:t>
      </w:r>
    </w:p>
    <w:p>
      <w:pPr>
        <w:widowControl w:val="0"/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3) принимает решения о внесении в установленном порядке изменений и дополнений в Программу; </w:t>
      </w:r>
    </w:p>
    <w:p>
      <w:pPr>
        <w:widowControl w:val="0"/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ежегодно (поэтапно) проводит оценку эффективности реализации Программы и несет ответственность за достижение целевых показателей;</w:t>
      </w:r>
    </w:p>
    <w:p>
      <w:pPr>
        <w:widowControl w:val="0"/>
        <w:autoSpaceDE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5) осуществляет иные полномочия, установленные Программой.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Текущее управление реализацией Программы осуществляет заказчик - координатор Программы в соответствии с действующим законодательством.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Администрация поселения, как заказчик Программы, организует ее непосредственную реализацию: 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осуществляет функции заказчика товаров, работ, услуг, приобретение, выполнение или оказание которых необходимо для реализации целей Программы;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осуществляет полномочия главного распорядителя средств бюджета Орловского сельсовета Кыштовского района, предусмотренных на выполнение мероприятий Программы;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привлекает заинтересованные организации, учреждения для осуществления мероприятий Программы в порядке, предусмотренном действующим законодательством;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заключает договоры (контракты) о закупке товаров, выполнении работ и (или) оказании услуг, необходимых для реализации целевой Программы.</w:t>
      </w:r>
    </w:p>
    <w:p>
      <w:pPr>
        <w:widowControl w:val="0"/>
        <w:ind w:firstLine="84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Исполнители мероприятий Программы несут ответственность как за их качественное и своевременное выполнение, так и за рациональное использование финансовых средств и ресурсов, выделяемых на реализацию Программы.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 xml:space="preserve">Ежегодные отчёты по реализации Программы должны содержать: 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 xml:space="preserve">- сведения о результатах реализации программных мероприятий в муниципальных учреждениях за отчетный год; 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 xml:space="preserve">- данные о целевом использовании и объемах средств, привлеченных из бюджетов всех уровней и внебюджетных источников; 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 xml:space="preserve">- сведения о соответствии фактических показателей реализации Программы утвержденным показателям; 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 xml:space="preserve">- информацию о ходе и полноте выполнения программных мероприятий; </w:t>
      </w:r>
    </w:p>
    <w:p>
      <w:pPr>
        <w:widowControl w:val="0"/>
        <w:ind w:firstLine="840"/>
        <w:outlineLvl w:val="1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>- сведения о наличии, объемах и состоянии незавершенных мероприятий, оценку эффективности результатов реализации Программы.</w:t>
      </w:r>
    </w:p>
    <w:p>
      <w:pPr>
        <w:widowControl w:val="0"/>
        <w:ind w:firstLine="720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Итоговый отчет о реализации Программы должен содержать данные о финансировании Программы в целом и отдельных мероприятий с разбивкой по </w:t>
      </w:r>
    </w:p>
    <w:p>
      <w:pPr>
        <w:widowContro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28"/>
        <w:widowControl/>
        <w:ind w:firstLine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МЕРОПРИЯТИЙ ПО ОБЕСПЕЧЕНИЮ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Энергосбережения и повышения энергетической эффективности на территории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720"/>
        <w:gridCol w:w="734"/>
        <w:gridCol w:w="850"/>
        <w:gridCol w:w="851"/>
        <w:gridCol w:w="85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№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4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Расходы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Расходы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Расходы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8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9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Затраты на освещение улиц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Улучшить качество технического обслуживания уличного освещения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 по совершенствованию системы освещения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Замена светильников уличного освещения на светодиодные светильники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Доукомплектование щитов управления уличного освещения таймером времени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 освещения в организациях и учреждениях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Своевременное устранение неполадок, контрольные проверки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Замена ламп накаливания на энергосберегающие лампочки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Затраты на освещение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 по реконструкции отопительной системы, зданий и сооружений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Промывка отопительных батарей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ском СДК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Промывка отопительных батарей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Утеплить здания администрации,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ского СДК  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93,8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102,9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</w:tbl>
    <w:p>
      <w:pPr>
        <w:rPr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СОВЕТ ДЕПУТАТОВ ОРЛОВСКОГО СЕЛЬСОВЕТА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КЫШТОВСКОГО РАЙОНА НОВОСИБИРСКОЙ ОБЛАСТИ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(шестого созыва)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РЕШЕНИЕ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08.06.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2021 г.                     д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 Орловка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 утверждении положения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 порядке выдвижения, внесения, обсуждения, рассмотрения инициативных 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проектов, а также проведения их конкурсного отбора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соответствии с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"/document/186367/entry/0"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от 6 октября 2003 года N 131-ФЗ "Об общих принципах организации местного самоуправления в Российской Федерации", Уставом  сельского поселения Орловского сельсовета Кыштовского муниципального района Новосибирской области, Совет депутатов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РЕШИЛ: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Утвердить прилагаемое  Положение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порядке выдвижения,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 внесения, обсуждения,  рассмотрения  инициативных  проектов, а также  проведения  их  конкурсного  отбора.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Опубликовать настоящее решение в периодическом печатном издании "Орловский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Вестник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" и разместить его на официальном сайте администрации Орловского сельсовета Кыштовского района Новосибирской области.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4. Контроль за выполнением возложить на специалиста 1 разряда Евдокимову Г.А.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Председатель Совета депутатов Орловского сельсовета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Т.В. Зыбина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С.С. Криворотов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ПОЛОЖЕНИЕ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 ПОРЯДКЕ ВЫДВИЖЕНИЯ, ВНЕСЕНИЯ, ОБСУЖДЕНИЯ,  РАССМОТРЕНИЯ ИНИЦИАТИВНЫХ ПРОЕКТОВ, А ТАКЖЕ ПРОВЕДЕНИЯ ИХ КОНКУРСНОГО ОТБОРА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Общие положения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1.1.Настоящие Положение  определяет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Орловского сельсовета Кыштовского района Новосибирской области (далее - муниципальное образование).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"/document/186367/entry/0"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Федеральном законе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1.3. Организатором конкурсного отбора инициативных проектов на территории Орловского сельсовета Кыштовского района Новосибирской области (далее - муниципальное образование) является администрация Орловского сельсовета Кыштовского района Новосибирской области (далее - администрация муниципального образования).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1.6. Инициативный проект реализуется за счет средств бюджета Орловского сельсовета Кыштовского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"/document/12112604/entry/0"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Бюджетным кодексом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1.7. Бюджетные ассигнования на реализацию инициативных проектов предусматриваются в местном бюджете.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1.8. Объем бюджетных ассигнований на поддержку одного инициативного проекта из местного бюджета не должен превышать 300 000 рублей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instrText xml:space="preserve"> HYPERLINK "https://internet.garant.ru/" \l "/document/400165718/entry/11013" </w:instrTex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Выдвижение инициативных проектов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органы территориального общественного самоуправления муниципального образования;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староста сельского населенного пункта (далее также - инициаторы проекта).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Орловского сельсовета Кыштовского района Новосибирской области (далее - представительны орган муниципального образования).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2.3. Инициативный проект до его внесения в администрацию муниципального образования подлежит рассмотрению на сходе, собрании или конференции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Обсуждение и рассмотрение инициативных проектов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 Внесение инициативных проектов в администрацию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Данная информация, а также информация о сроках проведения конкурсного отбора размещаются на официальном сайте администрации 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"/document/400165718/entry/11203"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п. 2.3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"/document/400165718/entry/11404"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пунктом 4.4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настоящего Положения.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несоблюдение установленного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"/document/400165718/entry/11201"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пп. 2.1 - 2.3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 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"/document/400165718/entry/11301"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 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"/document/400165718/entry/11402"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признание инициативного проекта не прошедшим конкурсный отбор.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 Проведение собрания граждан по конкурсному отбору инициативных проектов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5.3. В голосовании по инициативным проектам вправе принимать участие жители  муниципального образования, достигшие шестнадцатилетнего возраста.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Житель 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 Утверждение инициативных проектов в целях их реализации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6.1. Для утверждения результатов конкурсного отбора инициативных проектов администрацией муниципального образования  образуется конкурсная комиссия.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6.2. Персональный состав конкурсной комиссии утверждается администрацией 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6.5. Председатель конкурсной комиссии: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председательствует на заседаниях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6.6. Секретарь конкурсной комиссии: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6.7. Член конкурсной комиссии: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голосует на заседаниях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6.10. Протокол заседания конкурсной комиссии должен содержать следующие данные: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время, дату и место проведения заседания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 Участие инициаторов проекта в реализации инициативных проектов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instrText xml:space="preserve"> HYPERLINK "https://internet.garant.ru/" \l "/document/400165718/entry/11016" </w:instrTex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end"/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7.2. Средства инициаторов проекта (инициативные платежи) вносятся на счет муниципального образования не позднее 10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instrText xml:space="preserve"> HYPERLINK "https://internet.garant.ru/" \l "/document/400165718/entry/11018" </w:instrTex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instrText xml:space="preserve"> HYPERLINK "https://internet.garant.ru/" \l "/document/400165718/entry/11019" </w:instrTex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СОВЕТ ДЕПУТАТОВ ОРЛОВСКОГО СЕЛЬСОВЕТА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КЫШТОВСКОГО РАЙОНА НОВОСИБИРСКОЙ ОБЛАСТИ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(шестого созыва)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РЕШЕНИЕ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08.06.2021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г.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Согласно  Федеральному закону от 6 октября 2003 года N 131-ФЗ "Об общих принципах организации местного самоуправления в Российской Федерации", Уставом  сельского поселения Орловского сельсовета Кыштовского муниципального района Новосибирской области, Совет депутатов Орловского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РЕШИЛ: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Утвердить прилагаемое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"/document/400165718/entry/60003"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Положение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Председатель Совета депутатов Орловского сельсовета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.В. Зыбина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С.С. Криворотов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bookmarkStart w:id="12" w:name="_GoBack"/>
      <w:bookmarkEnd w:id="12"/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ПОЛОЖЕНИЕ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ПОРЯДКЕ НАЗНАЧЕНИЯ И ПРОВЕДЕНИЯ ОПРОСА ГРАЖДАН ПО ВОПРОСАМ ВЫЯВЛЕНИЯ МНЕНИЯ ГРАЖДАН О ПОДДЕРЖКЕ ИНИЦИАТИВНЫХ ПРОЕКТОВ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Общие положения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1.1. Настоящее Положение в соответствии с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"/document/10103000/entry/0"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Конституцией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Российской Федерации,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"https://internet.garant.ru/" \l "/document/186367/entry/0"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Федерации", Уставом сельского поселения Орловского сельсовета Кыштовского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1.2. Под опросом граждан в настоящем Положении понимается способ выявления мнения граждан Орловского сельсовета Кыштовского района Новосибирской области и его учета при принятии решений по вопросам реализации инициативных проектов на территории Орловского сельсовета Кыштовского района Новосибирской области (далее - муниципальное образование) 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1.3. Результаты опроса носят рекомендательный характер.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Право гражданина на участие в опросе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2.3. Жители муниципального образования участвуют в опросе непосредственно.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Принципы проведения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3.1. Граждане участвуют в опросе на основе всеобщего равного и прямого волеизъявления.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 Вопросы, предлагаемые для вынесения на опрос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 Территория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5.1. Опрос может проводиться на всей территории муниципального образования или на части его территории.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 Инициатива проведения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6.2. Инициатива жителей муниципального образования оформляется письменным обращением инициативной группы граждан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instrText xml:space="preserve"> HYPERLINK "https://internet.garant.ru/" \l "/document/400165718/entry/6222" </w:instrTex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предлагающей инициативный проект.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6.3. Совет депутатов Орловского сельсовета Кыштовского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 Методы проведения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7.1. Согласно Уставу 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опрос проводится методом: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тайного или поименного голосования в течение одного или нескольких дней, а также голосования на официальном сайте администрации Орловского сельсовета Кыштовского района Новосибирской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 Решение о проведении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дата и сроки проведения опроса;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формулировка вопроса (вопросов), предлагаемого (предлагаемых) при проведении опроса;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метод проведения опроса;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форма опросного листа;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минимальная численность жителей муниципального образования, участвующих в опросе;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порядок идентификации участников опроса в случае проведения опроса граждан с использованием официального сайта администрации  муниципального образования в информационно-телекоммуникационной сети Интернет.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8.4. 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 Полномочия и организация деятельности комиссии по проведению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9.1. Первое заседание комиссии созывается не позднее чем на 11 день после опубликования решения о проведении опроса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 Полномочия комиссии: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Оповещение проводится путем размещения информации о проведении опроса: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а) в средствах массовой информации;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б) в информационно-телекоммуникационной сети Интернет;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в) на информационных стендах;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г) иным способом.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9.3.2. Составляет списки участников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9.3.4. Оформляет протокол по результатам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9.3.5. Определяет результаты опроса и обнародует (публикует) их.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9.3.7. Направляет в представительный орган муниципального образования результаты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9.3.10. Осуществляет иные полномочия в целях реализации настоящего Положения.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9.5. 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10. Определение результатов опроса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10.3. В протоколе о результатах опроса указываются следующие данные: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а) общее число участников опроса;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б) число граждан, принявших участие в опросе;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в) одно из следующих решений: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признание опроса состоявшимся;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признание опроса несостоявшимся;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г) число опросных листов, признанных недействительными;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11. Заключительные положения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Срок хранения указанных материалов не может быть менее 5 лет.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23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10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12E773D"/>
    <w:multiLevelType w:val="multilevel"/>
    <w:tmpl w:val="312E773D"/>
    <w:lvl w:ilvl="0" w:tentative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B1039B"/>
    <w:multiLevelType w:val="multilevel"/>
    <w:tmpl w:val="74B103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5C0232"/>
    <w:rsid w:val="76614266"/>
    <w:rsid w:val="77A66C78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  <w:style w:type="character" w:customStyle="1" w:styleId="116">
    <w:name w:val="address2"/>
    <w:basedOn w:val="21"/>
    <w:qFormat/>
    <w:uiPriority w:val="0"/>
  </w:style>
  <w:style w:type="character" w:customStyle="1" w:styleId="117">
    <w:name w:val="data2"/>
    <w:basedOn w:val="21"/>
    <w:qFormat/>
    <w:uiPriority w:val="0"/>
  </w:style>
  <w:style w:type="paragraph" w:customStyle="1" w:styleId="118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9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0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1">
    <w:name w:val="Font Style15"/>
    <w:qFormat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2021-06-10T06:04:38Z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