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39 13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baseline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ГИМС напоминает охотникам и рыболовам правила безопасности на воде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В самом разгаре время осенней охоты и рыбалки, граждане, взяв свои лодки, выходят на водные просторы республики в предвкушении увлекательной охоты и рыбалки, часто пренебрегая личной безопасностью и безопасностью пассажиров, к тому же в данный период времени из опасных явлений могут возникнуть сильный ветер, дождь, туман, шторм и высокая волна.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этим ГИМС напоминает: судно должно иметь средства спасения (спасательный круг, спасательные жилеты должны быть у каждого находящегося в лодке человека они должны быть сертифицированы, соответствующего размера, укомплектованы свистком для подачи звукового сигнала и, желательно, фонариком для подачи светового, быть удобными в застегнутом состоянии и не стеснять движения, а самое главное — должны быть рассчитаны на поддержку конкретного владельца на плаву), медаптечка для оказания первой медицинской помощи и средства подачи световых сигналов (фонарик). Управлять судном в нетрезвом состоянии запрещено. Алкоголь притупляет внимание и реакцию. Пьяный судоводитель не может адекватно оценить ситуацию и степень ее опасности.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Движение в условиях ограниченной видимости – в тумане, при сильном дожде, ночью таит множество опасностей – мели, камни, топляки, различные суда. Запрещается выходить на судовой ход при ограниченной видимости (менее 1 км).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Будьте особенно осторожны при эксплуатации надувных лодок. На таких плавсредствах не рекомендуется заплывать в места, в которых под водой могут находиться коряги, так как наезд на острый край может привести к проколу резины.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ГИМС по НСО настоятельно рекомендует судоводителям маломерных судов не выходить в плавание при неблагоприятных погодных условиях, чтобы исключить неоправданный риск, и не подвергать свою жизнь и жизни Ваших пассажиров опасности!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Получение различных травм на охоте не редкость , огнестрельные ранения не самые частые травмы , большинство трагических случаев происходят при эксплуатации маломерных судов. Поэтому чтобы ваша охота не была омрачена,  нелепой случайностью, необходимо соблюдать меры безопасности при эксплуатаций маломерных судов на воде. 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1. Одно из самых важных правил не садитесь в лодку, если  вы находитесь в алкогольном опьянении.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2. При перемене места в лодке  не спешите, двигайтесь по лодке осторожно, не перегибайтесь сильно за борт. Необходимо иметь с собой спасательный круг и находиться в лодке в спасательном жилете.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3. При  стрельбе из ружья постарайтесь занять удобное положение, встав лицом к носу или корме и слегка расставив ноги, а стрельбу лучше вести, сидя в лодке лицом к носу.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4. Нельзя стоять при движении лодки, особенно если она с мотором. На поворотах следует уменьшать скорость. Лучше обходить все плавающие по курсу движения предметы.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Надеемся, что при соблюдении этих нехитрых правил, Ваш личный сезон охоты будет удачным!</w:t>
      </w:r>
    </w:p>
    <w:p>
      <w:pPr>
        <w:pStyle w:val="1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baseline"/>
        <w:outlineLvl w:val="9"/>
        <w:rPr>
          <w:sz w:val="24"/>
          <w:szCs w:val="24"/>
        </w:rPr>
      </w:pPr>
      <w:r>
        <w:rPr>
          <w:sz w:val="24"/>
          <w:szCs w:val="24"/>
        </w:rPr>
        <w:t>5. Главная опасность при пользовании м.судами - это переворачивание лодки. К этому всегда надо быть готовым. При аварии лодка сначала ложится на бок. Однако забираться на днище перевернувшейся лодки не имеет смысла, потому что она неустойчива и обязательно опрокинется. Попав в воду главное  - не терять самообладание и не впадать в панику, надо снять сапоги и верхнею одежду и  добраться до берега, помня о том, что человек в холодной воде может находиться ограниченное время.</w:t>
      </w:r>
    </w:p>
    <w:p>
      <w:pPr>
        <w:jc w:val="both"/>
        <w:rPr>
          <w:sz w:val="24"/>
          <w:szCs w:val="24"/>
        </w:rPr>
      </w:pPr>
      <w:r>
        <w:rPr>
          <w:rStyle w:val="27"/>
          <w:sz w:val="24"/>
          <w:szCs w:val="24"/>
        </w:rPr>
        <w:t>Напоминаем: при возникновении любой чрезвычайной ситуации необходимо срочно вызвать службу спасения по телефону «112» (для мобильных операторов).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Купинское инспекторское отделение Центр ГИМС ГУ МЧС России  по  НСО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center"/>
        <w:textAlignment w:val="auto"/>
        <w:outlineLvl w:val="0"/>
        <w:rPr>
          <w:sz w:val="24"/>
          <w:szCs w:val="24"/>
        </w:rPr>
      </w:pPr>
      <w:r>
        <w:rPr>
          <w:sz w:val="24"/>
          <w:szCs w:val="24"/>
        </w:rPr>
        <w:t>Рекомендации ГИМС по безопасности на осенней рыбалке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Рыболову, планирующему рыбалку поздней осенью, следует быть готовым к сложным погодным условиям. Как правило, в это время случаются происшествия с маломерными судами.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      Рыбалка, прекрасный вид активного отдыха. Но о том, что в ходе этого занятия человека подстерегают разного рода опасности, задумываются немногие. А между тем, любой водоем, даже давно знакомый, является местом определенного риска. Поэтому любителям рыбной ловли тут необходимо постоянное внимание и соблюдение элементарных мер безопасности.                 </w:t>
      </w:r>
      <w:r>
        <w:rPr>
          <w:sz w:val="24"/>
          <w:szCs w:val="24"/>
        </w:rPr>
        <w:tab/>
      </w: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Вместе с тем, факты свидетельствуют, что многие судоводители пренебрегают мерами предосторожности при плавании в сложных условиях осеннего периода, что приводит к росту гибели людей на водных объектах.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      </w:t>
      </w:r>
      <w:r>
        <w:rPr>
          <w:b/>
          <w:sz w:val="24"/>
          <w:szCs w:val="24"/>
        </w:rPr>
        <w:t xml:space="preserve">Анализ причин происшествий в ходе рыбалки на водоемах Новосибирской области свидетельствует, что основными причинами гибели людей явились: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       - отсутствие информированности судоводителей о прогнозе возникновения опасных гидрометеорологических явлений (резкое усиление ветра, волнения, малая видимость и др.), либо пренебрежение полученным неблагоприятным прогнозом погоды;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       - несоблюдение пассажирами установленных правил поведения на маломерном судне;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       - нахождение на борту маломерного судна, как судоводителя, так и пассажиров без спасательных жилетов;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 xml:space="preserve">       - управление судном с нарушением норм пассажировместимости, ограничений по району и условиям плавания; </w:t>
      </w:r>
      <w:r>
        <w:rPr>
          <w:b/>
          <w:sz w:val="24"/>
          <w:szCs w:val="24"/>
        </w:rPr>
        <w:br w:type="textWrapping"/>
      </w:r>
      <w:r>
        <w:rPr>
          <w:b/>
          <w:sz w:val="24"/>
          <w:szCs w:val="24"/>
        </w:rPr>
        <w:t>       - управление судном судоводителем, находящимся в состоянии алкогольного опьянения.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 Очень часто происшествия, в том числе с гибелью людей, связаны с падением человека за борт маломерного судна. Люди, как правило, встают в рост на катере, лодке - а это положение крайне неустойчивое. Если Вы собираетесь ловить с лодки стоя, займите устойчивое положение, став лицом к носу или корме и немного расставив ноги. Если при ловле с лодки вдвоем появилась необходимость поменяться местами, то следует делать это не спеша, несколько пригнувшись для поддержания равновесия, без резких движений, чтобы не накренить лодку и не залить её водой. Если на водоеме гуляет высокая волна или лодка неустойчива, лучше подплыть к берегу и там поменяться местами.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      Одно из основных требований безопасности при пользовании маломерными судами - на всех, кто находится в лодке, должны быть спасательные жилеты. Однако это требование повсеместно нарушается! Понятно, что тепло одетый человек не желает надевать еще и жилет, но, как показывает практика, те, на ком был жилет - держатся на плаву. Без жилета - тонут. И даже те, кто остался в лодке - не успевают протянуть руку помощи. Да и лодка при затоплении зачастую переворачивается. А если уж в состоянии алкогольного опьянения - то и на метровой глубине можно утонуть.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  Требуется соблюдать особую осторожность при рыбалке с надувных лодок. Не следует ставить надувные м/суда на якорь далеко от берега. При появлении даже средней волны необходимо прекратить ужение и вернуться на берег. Надувные лод</w:t>
      </w:r>
      <w:bookmarkStart w:id="1" w:name="_GoBack"/>
      <w:bookmarkEnd w:id="1"/>
      <w:r>
        <w:rPr>
          <w:sz w:val="24"/>
          <w:szCs w:val="24"/>
        </w:rPr>
        <w:t xml:space="preserve">ки очень неустойчивы, поэтому вставать в них во весь рост нельзя, даже перегибаться за борт небезопасно. Не рекомендуется пользоваться надувными лодками начинающим рыболовам.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      На таких плавучих средствах не рекомендуется заплывать в закоряженные места. Малейший «наезд» на острый край подводной коряги может привести к самым печальным последствиям. Но и на чистых, открытых участках не стоит заплывать на таких лодках слишком далеко от берега.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       Обязательно нужно оставлять своим родственникам, знакомым координаты мест, где собираетесь рыбачить. И возвращаться на ночлег до наступления темноты! 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       Соблюдение этих простых правил безопасности поможет не превратить ваш отдых в трагедию.</w:t>
      </w:r>
      <w:r>
        <w:rPr>
          <w:b/>
          <w:sz w:val="24"/>
          <w:szCs w:val="24"/>
        </w:rPr>
        <w:t xml:space="preserve"> 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В случае чрезвычайного происшествия звонить по телефону Единой дежурно-диспетчерской службы спасения – 01, для абонентов сотовой связи - 112.</w:t>
      </w:r>
    </w:p>
    <w:p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Купинское инспекторское отделение Центр ГИМС ГУ МЧС России  по  НСО</w:t>
      </w:r>
      <w:r>
        <w:rPr>
          <w:sz w:val="24"/>
          <w:szCs w:val="24"/>
          <w:lang w:val="ru-RU"/>
        </w:rPr>
        <w:t>.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19" w:right="119"/>
        <w:jc w:val="both"/>
        <w:textAlignment w:val="auto"/>
        <w:outlineLvl w:val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13 октября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  <w:font w:name="Roboto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1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0C071126"/>
    <w:rsid w:val="1395697E"/>
    <w:rsid w:val="206F2084"/>
    <w:rsid w:val="2AA06191"/>
    <w:rsid w:val="336A428C"/>
    <w:rsid w:val="3436666D"/>
    <w:rsid w:val="38A902E7"/>
    <w:rsid w:val="3BE51C2B"/>
    <w:rsid w:val="45C07AB7"/>
    <w:rsid w:val="536B4ACF"/>
    <w:rsid w:val="5ABF2F9E"/>
    <w:rsid w:val="5AE86E88"/>
    <w:rsid w:val="64B67E8C"/>
    <w:rsid w:val="661C6280"/>
    <w:rsid w:val="68967F1F"/>
    <w:rsid w:val="6C3360F3"/>
    <w:rsid w:val="6F6B68B8"/>
    <w:rsid w:val="73CE16F3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8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10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7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4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6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60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1"/>
    <w:qFormat/>
    <w:uiPriority w:val="0"/>
    <w:rPr>
      <w:b/>
      <w:bCs/>
    </w:rPr>
  </w:style>
  <w:style w:type="paragraph" w:styleId="12">
    <w:name w:val="header"/>
    <w:basedOn w:val="1"/>
    <w:link w:val="42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1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5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5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9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7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page number"/>
    <w:basedOn w:val="21"/>
    <w:qFormat/>
    <w:uiPriority w:val="0"/>
  </w:style>
  <w:style w:type="character" w:styleId="27">
    <w:name w:val="Strong"/>
    <w:qFormat/>
    <w:uiPriority w:val="0"/>
    <w:rPr>
      <w:b/>
      <w:bCs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30">
    <w:name w:val="ConsPlusNormal"/>
    <w:link w:val="47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1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2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3">
    <w:name w:val="Основной текст_"/>
    <w:link w:val="34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4">
    <w:name w:val="Основной текст1"/>
    <w:basedOn w:val="1"/>
    <w:link w:val="33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5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6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7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8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9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0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1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2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3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4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5">
    <w:name w:val="Название Знак"/>
    <w:link w:val="17"/>
    <w:qFormat/>
    <w:uiPriority w:val="0"/>
    <w:rPr>
      <w:b/>
      <w:sz w:val="36"/>
    </w:rPr>
  </w:style>
  <w:style w:type="paragraph" w:customStyle="1" w:styleId="46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7">
    <w:name w:val="ConsPlusNormal Знак"/>
    <w:link w:val="30"/>
    <w:qFormat/>
    <w:locked/>
    <w:uiPriority w:val="0"/>
    <w:rPr>
      <w:rFonts w:ascii="Arial" w:hAnsi="Arial" w:cs="Arial"/>
    </w:rPr>
  </w:style>
  <w:style w:type="paragraph" w:customStyle="1" w:styleId="48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9">
    <w:name w:val="Нижний колонтитул Знак"/>
    <w:link w:val="18"/>
    <w:qFormat/>
    <w:uiPriority w:val="0"/>
    <w:rPr>
      <w:sz w:val="24"/>
    </w:rPr>
  </w:style>
  <w:style w:type="paragraph" w:styleId="50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1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2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3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4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5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6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7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8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9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0">
    <w:name w:val="Текст примечания Знак"/>
    <w:basedOn w:val="21"/>
    <w:link w:val="10"/>
    <w:qFormat/>
    <w:uiPriority w:val="0"/>
  </w:style>
  <w:style w:type="character" w:customStyle="1" w:styleId="61">
    <w:name w:val="Тема примечания Знак"/>
    <w:link w:val="11"/>
    <w:qFormat/>
    <w:uiPriority w:val="0"/>
    <w:rPr>
      <w:b/>
      <w:bCs/>
    </w:rPr>
  </w:style>
  <w:style w:type="character" w:customStyle="1" w:styleId="62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3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4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5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9">
    <w:name w:val="s2"/>
    <w:qFormat/>
    <w:uiPriority w:val="0"/>
  </w:style>
  <w:style w:type="paragraph" w:customStyle="1" w:styleId="70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2">
    <w:name w:val="s1"/>
    <w:qFormat/>
    <w:uiPriority w:val="0"/>
  </w:style>
  <w:style w:type="paragraph" w:customStyle="1" w:styleId="73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7">
    <w:name w:val="s3"/>
    <w:qFormat/>
    <w:uiPriority w:val="0"/>
  </w:style>
  <w:style w:type="paragraph" w:customStyle="1" w:styleId="78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3">
    <w:name w:val="s4"/>
    <w:qFormat/>
    <w:uiPriority w:val="0"/>
  </w:style>
  <w:style w:type="paragraph" w:customStyle="1" w:styleId="84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5"/>
    <w:qFormat/>
    <w:uiPriority w:val="0"/>
  </w:style>
  <w:style w:type="character" w:customStyle="1" w:styleId="88">
    <w:name w:val="s6"/>
    <w:qFormat/>
    <w:uiPriority w:val="0"/>
  </w:style>
  <w:style w:type="character" w:customStyle="1" w:styleId="89">
    <w:name w:val="s7"/>
    <w:qFormat/>
    <w:uiPriority w:val="0"/>
  </w:style>
  <w:style w:type="character" w:customStyle="1" w:styleId="90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1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2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3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4">
    <w:name w:val="Заголовок 21"/>
    <w:basedOn w:val="93"/>
    <w:next w:val="93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5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6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7">
    <w:name w:val="Подзаголовок Знак"/>
    <w:link w:val="20"/>
    <w:uiPriority w:val="0"/>
    <w:rPr>
      <w:b/>
      <w:bCs/>
      <w:caps/>
      <w:sz w:val="32"/>
    </w:rPr>
  </w:style>
  <w:style w:type="character" w:customStyle="1" w:styleId="98">
    <w:name w:val="apple-converted-space"/>
    <w:basedOn w:val="21"/>
    <w:uiPriority w:val="0"/>
  </w:style>
  <w:style w:type="paragraph" w:customStyle="1" w:styleId="99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100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1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2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3">
    <w:name w:val="msonospacing"/>
    <w:basedOn w:val="1"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4">
    <w:name w:val="Style5"/>
    <w:basedOn w:val="1"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5">
    <w:name w:val="Font Style39"/>
    <w:basedOn w:val="21"/>
    <w:uiPriority w:val="99"/>
    <w:rPr>
      <w:rFonts w:ascii="Times New Roman" w:hAnsi="Times New Roman" w:cs="Times New Roman"/>
      <w:sz w:val="22"/>
      <w:szCs w:val="22"/>
    </w:rPr>
  </w:style>
  <w:style w:type="paragraph" w:customStyle="1" w:styleId="10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7">
    <w:name w:val="Основной текст (2) + 13 pt;Полужирный"/>
    <w:basedOn w:val="21"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8">
    <w:name w:val=" Знак"/>
    <w:link w:val="2"/>
    <w:uiPriority w:val="0"/>
    <w:rPr>
      <w:b/>
      <w:bCs/>
      <w:kern w:val="36"/>
      <w:sz w:val="48"/>
      <w:szCs w:val="48"/>
    </w:rPr>
  </w:style>
  <w:style w:type="character" w:customStyle="1" w:styleId="109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10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8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2020-08-10T08:09:00Z</cp:lastPrinted>
  <dcterms:modified xsi:type="dcterms:W3CDTF">2020-10-13T08:01:35Z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