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29 29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2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outlineLvl w:val="9"/>
        <w:rPr>
          <w:rStyle w:val="118"/>
          <w:b/>
          <w:bCs/>
          <w:color w:val="660066"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избирательных участков на выборах депутатов Законодательного Собрания Новосибирской, на выборах депутатов Совета депутатов Кыштовского района Новосибирской области, на выборах депутатов Совета депутатов </w:t>
      </w:r>
      <w:r>
        <w:rPr>
          <w:b/>
          <w:color w:val="auto"/>
          <w:sz w:val="28"/>
          <w:szCs w:val="28"/>
          <w:lang w:val="ru-RU"/>
        </w:rPr>
        <w:t>Орл</w:t>
      </w:r>
      <w:r>
        <w:rPr>
          <w:b/>
          <w:color w:val="auto"/>
          <w:sz w:val="28"/>
          <w:szCs w:val="28"/>
        </w:rPr>
        <w:t>овского</w:t>
      </w:r>
      <w:r>
        <w:rPr>
          <w:b/>
          <w:sz w:val="28"/>
          <w:szCs w:val="28"/>
        </w:rPr>
        <w:t xml:space="preserve"> сельсовета Кыштовского района Новосибирской области 13 сентября 2020 года на территории Кыштовского района Новосибирской области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избирательных участков, участков референдума – 31.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Номера избирательных участков, участков референдума – с № 674 по № 706.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Орловский сельсовет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701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Место нахождения участковой избирательной комиссии– д. Орловка, ул. Центральная, 19, администрация муниципального образования Орловского сельсовета. Тел.: 28-110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Место нахождения помещения для голосования - д. Орловка, ул. Центральная, 17, СДК.  Тел.: 28-147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Границы участка – д. Орловка.</w:t>
      </w:r>
    </w:p>
    <w:p>
      <w:pPr>
        <w:jc w:val="both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28.07.2020</w:t>
      </w:r>
      <w:r>
        <w:rPr>
          <w:rFonts w:ascii="Times New Roman" w:hAnsi="Times New Roman"/>
          <w:sz w:val="24"/>
          <w:szCs w:val="24"/>
        </w:rPr>
        <w:t xml:space="preserve">г.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д. Орловка</w:t>
      </w:r>
      <w:r>
        <w:rPr>
          <w:rFonts w:ascii="Times New Roman" w:hAnsi="Times New Roman"/>
          <w:sz w:val="24"/>
          <w:szCs w:val="24"/>
        </w:rPr>
        <w:t xml:space="preserve">                                        №</w:t>
      </w:r>
      <w:r>
        <w:rPr>
          <w:rFonts w:ascii="Times New Roman" w:hAnsi="Times New Roman"/>
          <w:sz w:val="24"/>
          <w:szCs w:val="24"/>
          <w:lang w:val="ru-RU"/>
        </w:rPr>
        <w:t>47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определении размера вреда, </w:t>
      </w:r>
      <w:r>
        <w:rPr>
          <w:rFonts w:ascii="Times New Roman" w:hAnsi="Times New Roman"/>
          <w:sz w:val="24"/>
          <w:szCs w:val="24"/>
        </w:rPr>
        <w:t>причиняемого тяжеловесными транспортными средствами, при движении таких транспортных средств по автомобильным дорогам</w:t>
      </w:r>
      <w:r>
        <w:rPr>
          <w:rFonts w:ascii="Times New Roman" w:hAnsi="Times New Roman"/>
          <w:bCs/>
          <w:sz w:val="24"/>
          <w:szCs w:val="24"/>
        </w:rPr>
        <w:t xml:space="preserve"> общего пользования местного значения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bCs/>
          <w:sz w:val="24"/>
          <w:szCs w:val="24"/>
        </w:rPr>
        <w:t>сельсовета Кыштовского района Новосибирской области</w:t>
      </w:r>
    </w:p>
    <w:p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 с положениями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31 января 2020 г. N 67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</w:r>
      <w:r>
        <w:rPr>
          <w:rFonts w:ascii="Times New Roman" w:hAnsi="Times New Roman"/>
          <w:color w:val="000000"/>
          <w:sz w:val="24"/>
          <w:szCs w:val="24"/>
        </w:rPr>
        <w:t xml:space="preserve">,   администрация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 Кыштовского р</w:t>
      </w:r>
      <w:r>
        <w:rPr>
          <w:rFonts w:ascii="Times New Roman" w:hAnsi="Times New Roman"/>
          <w:sz w:val="24"/>
          <w:szCs w:val="24"/>
        </w:rPr>
        <w:t>айона Новосибирской области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размер вреда, причиняемого тяжеловесными транспортными средствами, при движении таких транспортных средств по автомобильным дорогам</w:t>
      </w:r>
      <w:r>
        <w:rPr>
          <w:rFonts w:ascii="Times New Roman" w:hAnsi="Times New Roman"/>
          <w:bCs/>
          <w:sz w:val="24"/>
          <w:szCs w:val="24"/>
        </w:rPr>
        <w:t xml:space="preserve"> общего пользования местного значения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bCs/>
          <w:sz w:val="24"/>
          <w:szCs w:val="24"/>
        </w:rPr>
        <w:t>сельсовета Кыштовского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в соответствии с показателями согласно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HYPERLINK \l Par35 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приложению 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силу: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Постановление администрации Орловского сельсовета от 16.03.2020 №21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 к собственности </w:t>
      </w:r>
      <w:r>
        <w:rPr>
          <w:rFonts w:ascii="Times New Roman" w:hAnsi="Times New Roman"/>
          <w:bCs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Постановление опубликовать в </w:t>
      </w:r>
      <w:r>
        <w:rPr>
          <w:rFonts w:ascii="Times New Roman" w:hAnsi="Times New Roman"/>
          <w:sz w:val="24"/>
          <w:szCs w:val="24"/>
          <w:lang w:val="ru-RU"/>
        </w:rPr>
        <w:t>периодическом печатном издании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  <w:lang w:val="ru-RU"/>
        </w:rPr>
        <w:t>Орловский Вестник</w:t>
      </w:r>
      <w:r>
        <w:rPr>
          <w:rFonts w:ascii="Times New Roman" w:hAnsi="Times New Roman"/>
          <w:sz w:val="24"/>
          <w:szCs w:val="24"/>
        </w:rPr>
        <w:t xml:space="preserve">"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sz w:val="24"/>
          <w:szCs w:val="24"/>
        </w:rPr>
        <w:t>сельсовета Кыштовского района  Новосибирской области.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>
        <w:rPr>
          <w:rFonts w:ascii="Times New Roman" w:hAnsi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sz w:val="24"/>
          <w:szCs w:val="24"/>
        </w:rPr>
        <w:t xml:space="preserve"> сельсовета   </w:t>
      </w:r>
      <w:r>
        <w:rPr>
          <w:rFonts w:ascii="Times New Roman" w:hAnsi="Times New Roman"/>
          <w:sz w:val="24"/>
          <w:szCs w:val="24"/>
          <w:lang w:val="ru-RU"/>
        </w:rPr>
        <w:t>С.С. Криворотов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bookmarkStart w:id="0" w:name="Par30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Par35"/>
      <w:bookmarkEnd w:id="1"/>
      <w:r>
        <w:rPr>
          <w:rFonts w:cs="Calibri"/>
          <w:b/>
          <w:bCs/>
          <w:sz w:val="24"/>
          <w:szCs w:val="24"/>
        </w:rPr>
        <w:t xml:space="preserve"> </w:t>
      </w:r>
      <w:bookmarkStart w:id="2" w:name="Par41"/>
      <w:bookmarkEnd w:id="2"/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Показатели размера вреда, </w:t>
      </w:r>
      <w:r>
        <w:rPr>
          <w:rFonts w:ascii="Times New Roman" w:hAnsi="Times New Roman"/>
          <w:sz w:val="24"/>
          <w:szCs w:val="24"/>
        </w:rPr>
        <w:t>причиняемого тяжеловесными транспортными средствами, при движении таких транспортных средств по автомобильным дорогам</w:t>
      </w:r>
      <w:r>
        <w:rPr>
          <w:rFonts w:ascii="Times New Roman" w:hAnsi="Times New Roman"/>
          <w:bCs/>
          <w:sz w:val="24"/>
          <w:szCs w:val="24"/>
        </w:rPr>
        <w:t xml:space="preserve"> общего пользования местного значения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bCs/>
          <w:sz w:val="24"/>
          <w:szCs w:val="24"/>
        </w:rPr>
        <w:t xml:space="preserve">сельсовета Кыштовского района Новосибирской области </w:t>
      </w:r>
    </w:p>
    <w:p>
      <w:pPr>
        <w:ind w:firstLine="698"/>
        <w:jc w:val="right"/>
        <w:rPr>
          <w:sz w:val="24"/>
          <w:szCs w:val="24"/>
        </w:rPr>
      </w:pPr>
      <w:bookmarkStart w:id="3" w:name="Par86"/>
      <w:bookmarkEnd w:id="3"/>
      <w:bookmarkStart w:id="4" w:name="sub_10001"/>
      <w:r>
        <w:rPr>
          <w:rStyle w:val="122"/>
          <w:sz w:val="24"/>
          <w:szCs w:val="24"/>
        </w:rPr>
        <w:t>Таблица 1</w:t>
      </w:r>
    </w:p>
    <w:bookmarkEnd w:id="4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Размер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10 тс, от превышения допустимых нагрузок на каждую ось транспортного средства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29"/>
        <w:tblW w:w="9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132"/>
        <w:gridCol w:w="1131"/>
        <w:gridCol w:w="847"/>
        <w:gridCol w:w="849"/>
        <w:gridCol w:w="990"/>
        <w:gridCol w:w="989"/>
        <w:gridCol w:w="1501"/>
        <w:gridCol w:w="55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1" w:type="dxa"/>
        </w:trPr>
        <w:tc>
          <w:tcPr>
            <w:tcW w:w="20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Превышение фактических нагрузок на ось транспортного средства над допустимыми</w:t>
            </w:r>
          </w:p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74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1" w:type="dxa"/>
        </w:trPr>
        <w:tc>
          <w:tcPr>
            <w:tcW w:w="20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9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(рублей на 100 км)</w:t>
            </w:r>
          </w:p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свыше 2 до 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 (включительно) до 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 (включительно) до 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 (включительно) до 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6 (включительно) до 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7 (включительно) до 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8 (включительно) до 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9 (включительно) до 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10 (включительно) до 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11 (включительно) до 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12 (включительно) до 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13 (включительно) до 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14 (включительно) до 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15 (включительно) до 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16 (включительно) до 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17 (включительно) до 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18 (включительно) до 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19 (включительно) до 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2599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20 (включительно) до 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21 (включительно) до 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2866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22 (включительно) до 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23 (включительно) до 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24 (включительно) до 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25 (включительно) до 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3472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26 (включительно) до 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27 (включительно) до 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28 (включительно) до 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3991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29 (включительно) до 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30 (включительно) до 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4366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31 (включительно) до 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4563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32 (включительно) до 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33 (включительно) до 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4974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34 (включительно) до 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35 (включительно) до 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5408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36 (включительно) до 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37 (включительно) до 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38 (включительно) до 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6104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39 (включительно) до 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6348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40 (включительно) до 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6597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41 (включительно) до 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6853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42 (включительно) до 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7114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43 (включительно) до 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7381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44 (включительно) до 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7653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45 (включительно) до 46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7932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46 (включительно) до 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8216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47 (включительно) до 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8506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48 (включительно) до 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8801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49 (включительно) до 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50 (включительно) до 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9409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51 (включительно) до 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9722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52 (включительно) до 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10041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53 (включительно) до 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10365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54 (включительно) до 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10694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55 (включительно) до 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11030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56 (включительно) до 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11371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57 (включительно) до 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11718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58 (включительно) до 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12070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59 (включительно) до 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12428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1" w:type="dxa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60 (включительно) и выше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HYPERLINK \l "sub_11000"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25"/>
                <w:rFonts w:hint="default" w:ascii="Times New Roman" w:hAnsi="Times New Roman" w:cs="Times New Roman"/>
                <w:sz w:val="20"/>
                <w:szCs w:val="20"/>
              </w:rPr>
              <w:t>приложением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HYPERLINK \l "sub_0"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25"/>
                <w:rFonts w:hint="default" w:ascii="Times New Roman" w:hAnsi="Times New Roman" w:cs="Times New Roman"/>
                <w:sz w:val="20"/>
                <w:szCs w:val="20"/>
              </w:rPr>
              <w:t>постановлением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31 января 2020 г. N 67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698"/>
        <w:jc w:val="right"/>
        <w:rPr>
          <w:rFonts w:hint="default" w:ascii="Times New Roman" w:hAnsi="Times New Roman" w:cs="Times New Roman"/>
          <w:sz w:val="20"/>
          <w:szCs w:val="20"/>
        </w:rPr>
      </w:pPr>
      <w:bookmarkStart w:id="5" w:name="sub_10002"/>
      <w:r>
        <w:rPr>
          <w:rStyle w:val="122"/>
          <w:rFonts w:hint="default" w:ascii="Times New Roman" w:hAnsi="Times New Roman" w:cs="Times New Roman"/>
          <w:sz w:val="20"/>
          <w:szCs w:val="20"/>
        </w:rPr>
        <w:t>Таблица 2</w:t>
      </w:r>
    </w:p>
    <w:bookmarkEnd w:id="5"/>
    <w:p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Размер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11,5 тс, от превышения допустимых осевых нагрузок на ось транспортного средства</w:t>
      </w:r>
    </w:p>
    <w:tbl>
      <w:tblPr>
        <w:tblStyle w:val="29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132"/>
        <w:gridCol w:w="1131"/>
        <w:gridCol w:w="847"/>
        <w:gridCol w:w="849"/>
        <w:gridCol w:w="990"/>
        <w:gridCol w:w="989"/>
        <w:gridCol w:w="1130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9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(рублей на 100 км)</w:t>
            </w:r>
          </w:p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свыше 2 до 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 (включительно) до 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 (включительно) до 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 (включительно) до 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6 (включительно) до 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7 (включительно) до 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8 (включительно) до 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9 (включительно) до 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10 (включительно) до 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11 (включительно) до 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12 (включительно) до 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13 (включительно) до 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14 (включительно) до 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15 (включительно) до 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16 (включительно) до 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17 (включительно) до 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18 (включительно) до 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19 (включительно) до 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20 (включительно) до 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21 (включительно) до 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22 (включительно) до 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23 (включительно) до 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24 (включительно) до 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25 (включительно) до 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26 (включительно) до 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27 (включительно) до 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28 (включительно) до 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29 (включительно) до 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30 (включительно) до 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31 (включительно) до 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32 (включительно) до 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33 (включительно) до 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34 (включительно) до 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35 (включительно) до 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36 (включительно) до 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37 (включительно) до 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38 (включительно) до 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39 (включительно) до 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40 (включительно) до 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41 (включительно) до 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42 (включительно) до 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43 (включительно) до 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44 (включительно) до 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45 (включительно) до 46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46 (включительно) до 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47 (включительно) до 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48 (включительно) до 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49 (включительно) до 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50 (включительно) до 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51 (включительно) до 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52 (включительно) до 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53 (включительно) до 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54 (включительно) до 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55 (включительно) до 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56 (включительно) до 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57 (включительно) до 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58 (включительно) до 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59 (включительно) до 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60 (включительно) и выше</w:t>
            </w:r>
          </w:p>
        </w:tc>
        <w:tc>
          <w:tcPr>
            <w:tcW w:w="7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HYPERLINK \l "sub_11000"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25"/>
                <w:rFonts w:hint="default" w:ascii="Times New Roman" w:hAnsi="Times New Roman" w:cs="Times New Roman"/>
                <w:sz w:val="20"/>
                <w:szCs w:val="20"/>
              </w:rPr>
              <w:t>приложением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HYPERLINK \l "sub_0"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25"/>
                <w:rFonts w:hint="default" w:ascii="Times New Roman" w:hAnsi="Times New Roman" w:cs="Times New Roman"/>
                <w:sz w:val="20"/>
                <w:szCs w:val="20"/>
              </w:rPr>
              <w:t>постановлением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31 января 2020 г. N 67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698"/>
        <w:jc w:val="right"/>
        <w:rPr>
          <w:rFonts w:hint="default" w:ascii="Times New Roman" w:hAnsi="Times New Roman" w:cs="Times New Roman"/>
          <w:sz w:val="20"/>
          <w:szCs w:val="20"/>
        </w:rPr>
      </w:pPr>
      <w:bookmarkStart w:id="6" w:name="sub_10003"/>
      <w:r>
        <w:rPr>
          <w:rStyle w:val="122"/>
          <w:rFonts w:hint="default" w:ascii="Times New Roman" w:hAnsi="Times New Roman" w:cs="Times New Roman"/>
          <w:sz w:val="20"/>
          <w:szCs w:val="20"/>
        </w:rPr>
        <w:t>Таблица 3</w:t>
      </w:r>
    </w:p>
    <w:bookmarkEnd w:id="6"/>
    <w:p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Размер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дороги массы транспортного средства</w:t>
      </w:r>
    </w:p>
    <w:tbl>
      <w:tblPr>
        <w:tblStyle w:val="29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132"/>
        <w:gridCol w:w="1131"/>
        <w:gridCol w:w="847"/>
        <w:gridCol w:w="849"/>
        <w:gridCol w:w="990"/>
        <w:gridCol w:w="989"/>
        <w:gridCol w:w="1130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Превышение фактической массы транспортного средства над допустимой</w:t>
            </w:r>
          </w:p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7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9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(рублей на 100 км)</w:t>
            </w:r>
          </w:p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свыше 2 до 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 (включительно) до 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 (включительно) до 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 (включительно) до 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6 (включительно) до 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7 (включительно) до 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8 (включительно) до 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3399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9 (включительно) до 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10 (включительно) до 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3499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11 (включительно) до 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12 (включительно) до 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13 (включительно) до 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14 (включительно) до 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15 (включительно) до 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16 (включительно) до 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17 (включительно) до 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18 (включительно) до 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19 (включительно) до 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20 (включительно) до 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21 (включительно) до 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22 (включительно) до 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23 (включительно) до 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24 (включительно) до 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25 (включительно) до 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26 (включительно) до 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27 (включительно) до 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28 (включительно) до 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29 (включительно) до 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30 (включительно) до 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31 (включительно) до 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32 (включительно) до 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33 (включительно) до 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34 (включительно) до 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35 (включительно) до 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36 (включительно) до 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37 (включительно) до 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38 (включительно) до 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39 (включительно) до 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40 (включительно) до 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41 (включительно) до 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42 (включительно) до 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43 (включительно) до 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44 (включительно) до 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45 (включительно) до 46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46 (включительно) до 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47 (включительно) до 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48 (включительно) до 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49 (включительно) до 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50 (включительно) до 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51 (включительно) до 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52 (включительно) до 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53 (включительно) до 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54 (включительно) до 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5709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55 (включительно) до 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5759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56 (включительно) до 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57 (включительно) до 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58 (включительно) до 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5910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59 (включительно) до 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5960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 60 (включительно) и выше</w:t>
            </w:r>
          </w:p>
        </w:tc>
        <w:tc>
          <w:tcPr>
            <w:tcW w:w="7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2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HYPERLINK \l "sub_11000"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25"/>
                <w:rFonts w:hint="default" w:ascii="Times New Roman" w:hAnsi="Times New Roman" w:cs="Times New Roman"/>
                <w:sz w:val="20"/>
                <w:szCs w:val="20"/>
              </w:rPr>
              <w:t>приложением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HYPERLINK \l "sub_0"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25"/>
                <w:rFonts w:hint="default" w:ascii="Times New Roman" w:hAnsi="Times New Roman" w:cs="Times New Roman"/>
                <w:sz w:val="20"/>
                <w:szCs w:val="20"/>
              </w:rPr>
              <w:t>постановлением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31 января 2020 г. N 67</w:t>
            </w:r>
          </w:p>
        </w:tc>
      </w:tr>
    </w:tbl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29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AC1"/>
    <w:multiLevelType w:val="multilevel"/>
    <w:tmpl w:val="09244AC1"/>
    <w:lvl w:ilvl="0" w:tentative="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99351C"/>
    <w:rsid w:val="08BD4062"/>
    <w:rsid w:val="0E2617CD"/>
    <w:rsid w:val="102A130E"/>
    <w:rsid w:val="131F220C"/>
    <w:rsid w:val="13880F14"/>
    <w:rsid w:val="1BAA3CC3"/>
    <w:rsid w:val="1C5E77C5"/>
    <w:rsid w:val="1DA2787E"/>
    <w:rsid w:val="1F656B74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2950693"/>
    <w:rsid w:val="536B4ACF"/>
    <w:rsid w:val="55576B76"/>
    <w:rsid w:val="64B67E8C"/>
    <w:rsid w:val="661C6280"/>
    <w:rsid w:val="68967F1F"/>
    <w:rsid w:val="6A8F27BD"/>
    <w:rsid w:val="6C3360F3"/>
    <w:rsid w:val="6F6B68B8"/>
    <w:rsid w:val="73CE16F3"/>
    <w:rsid w:val="764A0574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uiPriority w:val="0"/>
    <w:rPr>
      <w:b/>
      <w:bCs/>
    </w:r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qFormat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3">
    <w:name w:val="Основной текст (2)1"/>
    <w:basedOn w:val="1"/>
    <w:link w:val="116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4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5">
    <w:name w:val="Основной текст (2)"/>
    <w:basedOn w:val="11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6">
    <w:name w:val="Основной текст (2)_"/>
    <w:basedOn w:val="22"/>
    <w:link w:val="1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7">
    <w:name w:val="Font Style57"/>
    <w:qFormat/>
    <w:uiPriority w:val="99"/>
    <w:rPr>
      <w:rFonts w:ascii="Cambria" w:hAnsi="Cambria" w:cs="Cambria"/>
      <w:sz w:val="20"/>
      <w:szCs w:val="20"/>
    </w:rPr>
  </w:style>
  <w:style w:type="character" w:customStyle="1" w:styleId="118">
    <w:name w:val="titlemain"/>
    <w:basedOn w:val="22"/>
    <w:uiPriority w:val="0"/>
  </w:style>
  <w:style w:type="character" w:customStyle="1" w:styleId="119">
    <w:name w:val="titlemain2"/>
    <w:basedOn w:val="22"/>
    <w:uiPriority w:val="0"/>
  </w:style>
  <w:style w:type="paragraph" w:customStyle="1" w:styleId="120">
    <w:name w:val="headertext topleveltext centertext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Font Style34"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22">
    <w:name w:val="Цветовое выделение"/>
    <w:uiPriority w:val="99"/>
    <w:rPr>
      <w:b/>
      <w:bCs/>
      <w:color w:val="26282F"/>
    </w:rPr>
  </w:style>
  <w:style w:type="paragraph" w:customStyle="1" w:styleId="123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124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customStyle="1" w:styleId="125">
    <w:name w:val="Гипертекстовая ссылка"/>
    <w:basedOn w:val="122"/>
    <w:uiPriority w:val="99"/>
    <w:rPr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2020-07-13T09:36:00Z</cp:lastPrinted>
  <dcterms:modified xsi:type="dcterms:W3CDTF">2020-07-29T08:48:58Z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