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24 27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органов прокуратуры по противодействию коррупции</w:t>
      </w:r>
    </w:p>
    <w:p/>
    <w:p>
      <w:pPr>
        <w:pStyle w:val="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Противодействие коррупции всегда было и является приоритетной задачей для органов прокуратуры.</w:t>
      </w:r>
    </w:p>
    <w:p>
      <w:pPr>
        <w:pStyle w:val="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реализации положений статьи 36 Конвенции ООН против коррупции, а также с учетом того, что проявления коррупции могут наблюдаться в различных сферах жизнедеятельности государства и общества, в августе 2007 г.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коррупции. Аналогичные подразделения создаются в субъектах Российской Федерации.</w:t>
      </w:r>
    </w:p>
    <w:p>
      <w:pPr>
        <w:pStyle w:val="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компетенции управления и структурных подразделений на местах отнесены вопросы борьбы с коррупцией в сфере государственной и муниципальной службы, включая коррупцию среди лиц, замещающих государственные должности Российской Федерации, руководителей регионов и муниципальных образований, депутатов, судей, прокуроров и других публичных должностных лиц.</w:t>
      </w:r>
    </w:p>
    <w:p>
      <w:pPr>
        <w:pStyle w:val="2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деятельности этих подразделений можно разбить на следующие группы: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коррупционных проявлений и проведение по ним соответствующих проверок;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надзор за соблюдением законности при осуществлении оперативно-розыскной деятельности по делам коррупционной направленности;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поддержание государственного обвинения в стадии судебного производства по таким уголовным делам;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международном сотрудничестве с антикоррупционными и иными структурами других стран;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и анализ исполнения законодательства о борьбе с коррупцией и выработка предложений по его совершенствованию.</w:t>
      </w:r>
    </w:p>
    <w:p>
      <w:pPr>
        <w:pStyle w:val="2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 противодействию коррупции является приоритетным направлением в деятельности прокуратуры Кыштовского района Новосибирской области.</w:t>
      </w:r>
    </w:p>
    <w:p>
      <w:pPr>
        <w:pStyle w:val="2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С.Д. Панафидин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  <w:t>В  правоохранительные органы Кыщтовского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  <w:t>Частью 2 ст. 306 УК РФ предусмотрена уголовная ответственн</w:t>
      </w:r>
      <w:r>
        <w:rPr>
          <w:rFonts w:cs="Times New Roman"/>
          <w:color w:val="142A35"/>
          <w:sz w:val="24"/>
          <w:szCs w:val="24"/>
          <w:shd w:val="clear" w:color="auto" w:fill="FFFFFF"/>
          <w:lang w:val="ru-RU"/>
        </w:rPr>
        <w:t>ость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  <w:t>ость за ложный донос, если он соединен с обвинением лица в совершении тяжкого или особо тяжкого преступления. По ч.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4"/>
          <w:szCs w:val="24"/>
          <w:shd w:val="clear" w:color="auto" w:fill="FFFFFF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>
      <w:pPr>
        <w:spacing w:after="0" w:line="240" w:lineRule="auto"/>
        <w:jc w:val="both"/>
        <w:rPr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142A35"/>
          <w:sz w:val="24"/>
          <w:szCs w:val="24"/>
          <w:u w:val="single"/>
          <w:shd w:val="clear" w:color="auto" w:fill="FFFFFF"/>
        </w:rPr>
        <w:t xml:space="preserve"> С.Д. Панафидин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27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1"/>
    <w:multiLevelType w:val="multilevel"/>
    <w:tmpl w:val="0BCD6F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1BAA3CC3"/>
    <w:rsid w:val="1C5E77C5"/>
    <w:rsid w:val="1DA2787E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2020-07-13T09:36:27Z</cp:lastPrinted>
  <dcterms:modified xsi:type="dcterms:W3CDTF">2020-07-13T09:37:10Z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